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83699983" w:displacedByCustomXml="next"/>
    <w:sdt>
      <w:sdtPr>
        <w:id w:val="-625086923"/>
        <w:docPartObj>
          <w:docPartGallery w:val="Cover Pages"/>
          <w:docPartUnique/>
        </w:docPartObj>
      </w:sdtPr>
      <w:sdtEndPr/>
      <w:sdtContent>
        <w:p w14:paraId="2129AA5D" w14:textId="77777777" w:rsidR="00CE65D6" w:rsidRDefault="00CE65D6"/>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6900"/>
          </w:tblGrid>
          <w:tr w:rsidR="00CE65D6" w14:paraId="0C1FD6A4" w14:textId="77777777">
            <w:sdt>
              <w:sdtPr>
                <w:rPr>
                  <w:color w:val="2E74B5" w:themeColor="accent1" w:themeShade="BF"/>
                  <w:sz w:val="56"/>
                  <w:szCs w:val="56"/>
                </w:rPr>
                <w:alias w:val="Company"/>
                <w:id w:val="13406915"/>
                <w:placeholder>
                  <w:docPart w:val="D5DBC91BBA484670894A461D4944692F"/>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56797239" w14:textId="77777777" w:rsidR="00CE65D6" w:rsidRDefault="00CE65D6">
                    <w:pPr>
                      <w:pStyle w:val="NoSpacing"/>
                      <w:rPr>
                        <w:color w:val="2E74B5" w:themeColor="accent1" w:themeShade="BF"/>
                        <w:sz w:val="24"/>
                      </w:rPr>
                    </w:pPr>
                    <w:r w:rsidRPr="00CE65D6">
                      <w:rPr>
                        <w:color w:val="2E74B5" w:themeColor="accent1" w:themeShade="BF"/>
                        <w:sz w:val="56"/>
                        <w:szCs w:val="56"/>
                      </w:rPr>
                      <w:t>Mono County</w:t>
                    </w:r>
                  </w:p>
                </w:tc>
              </w:sdtContent>
            </w:sdt>
          </w:tr>
          <w:tr w:rsidR="00CE65D6" w14:paraId="3273C0FD" w14:textId="77777777">
            <w:tc>
              <w:tcPr>
                <w:tcW w:w="7672" w:type="dxa"/>
              </w:tcPr>
              <w:sdt>
                <w:sdtPr>
                  <w:rPr>
                    <w:rFonts w:asciiTheme="majorHAnsi" w:eastAsiaTheme="majorEastAsia" w:hAnsiTheme="majorHAnsi" w:cstheme="majorBidi"/>
                    <w:color w:val="FF0000"/>
                    <w:sz w:val="40"/>
                    <w:szCs w:val="40"/>
                  </w:rPr>
                  <w:alias w:val="Title"/>
                  <w:id w:val="13406919"/>
                  <w:placeholder>
                    <w:docPart w:val="1CE4BE2D544A4C7AACD091B78EDF28D3"/>
                  </w:placeholder>
                  <w:dataBinding w:prefixMappings="xmlns:ns0='http://schemas.openxmlformats.org/package/2006/metadata/core-properties' xmlns:ns1='http://purl.org/dc/elements/1.1/'" w:xpath="/ns0:coreProperties[1]/ns1:title[1]" w:storeItemID="{6C3C8BC8-F283-45AE-878A-BAB7291924A1}"/>
                  <w:text/>
                </w:sdtPr>
                <w:sdtEndPr/>
                <w:sdtContent>
                  <w:p w14:paraId="3C7A1491" w14:textId="77777777" w:rsidR="00CE65D6" w:rsidRDefault="00CE65D6" w:rsidP="00CE65D6">
                    <w:pPr>
                      <w:pStyle w:val="NoSpacing"/>
                      <w:spacing w:line="216" w:lineRule="auto"/>
                      <w:rPr>
                        <w:rFonts w:asciiTheme="majorHAnsi" w:eastAsiaTheme="majorEastAsia" w:hAnsiTheme="majorHAnsi" w:cstheme="majorBidi"/>
                        <w:color w:val="5B9BD5" w:themeColor="accent1"/>
                        <w:sz w:val="88"/>
                        <w:szCs w:val="88"/>
                      </w:rPr>
                    </w:pPr>
                    <w:r w:rsidRPr="00CE65D6">
                      <w:rPr>
                        <w:rFonts w:asciiTheme="majorHAnsi" w:eastAsiaTheme="majorEastAsia" w:hAnsiTheme="majorHAnsi" w:cstheme="majorBidi"/>
                        <w:color w:val="FF0000"/>
                        <w:sz w:val="40"/>
                        <w:szCs w:val="40"/>
                      </w:rPr>
                      <w:t>DRAFT 2014 Housing Element Update</w:t>
                    </w:r>
                  </w:p>
                </w:sdtContent>
              </w:sdt>
            </w:tc>
          </w:tr>
          <w:tr w:rsidR="00CE65D6" w14:paraId="55C11ED8" w14:textId="77777777">
            <w:tc>
              <w:tcPr>
                <w:tcW w:w="7672" w:type="dxa"/>
                <w:tcMar>
                  <w:top w:w="216" w:type="dxa"/>
                  <w:left w:w="115" w:type="dxa"/>
                  <w:bottom w:w="216" w:type="dxa"/>
                  <w:right w:w="115" w:type="dxa"/>
                </w:tcMar>
              </w:tcPr>
              <w:p w14:paraId="1DBF7A3C" w14:textId="77777777" w:rsidR="00CE65D6" w:rsidRDefault="00CE65D6" w:rsidP="00CE65D6">
                <w:pPr>
                  <w:pStyle w:val="NoSpacing"/>
                  <w:rPr>
                    <w:color w:val="2E74B5"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6665"/>
          </w:tblGrid>
          <w:tr w:rsidR="00CE65D6" w14:paraId="6E319C94"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318672C602604CE0A85FA287D898AB90"/>
                  </w:placeholder>
                  <w:dataBinding w:prefixMappings="xmlns:ns0='http://schemas.openxmlformats.org/package/2006/metadata/core-properties' xmlns:ns1='http://purl.org/dc/elements/1.1/'" w:xpath="/ns0:coreProperties[1]/ns1:creator[1]" w:storeItemID="{6C3C8BC8-F283-45AE-878A-BAB7291924A1}"/>
                  <w:text/>
                </w:sdtPr>
                <w:sdtEndPr/>
                <w:sdtContent>
                  <w:p w14:paraId="6CC93682" w14:textId="77777777" w:rsidR="00CE65D6" w:rsidRDefault="00CE65D6">
                    <w:pPr>
                      <w:pStyle w:val="NoSpacing"/>
                      <w:rPr>
                        <w:color w:val="5B9BD5" w:themeColor="accent1"/>
                        <w:sz w:val="28"/>
                        <w:szCs w:val="28"/>
                      </w:rPr>
                    </w:pPr>
                    <w:r>
                      <w:rPr>
                        <w:color w:val="5B9BD5" w:themeColor="accent1"/>
                        <w:sz w:val="28"/>
                        <w:szCs w:val="28"/>
                      </w:rPr>
                      <w:t>Mono County Community Development Department</w:t>
                    </w:r>
                  </w:p>
                </w:sdtContent>
              </w:sdt>
              <w:sdt>
                <w:sdtPr>
                  <w:rPr>
                    <w:color w:val="5B9BD5" w:themeColor="accent1"/>
                    <w:sz w:val="28"/>
                    <w:szCs w:val="28"/>
                  </w:rPr>
                  <w:alias w:val="Date"/>
                  <w:tag w:val="Date"/>
                  <w:id w:val="13406932"/>
                  <w:placeholder>
                    <w:docPart w:val="3C632387A55C47C89808242295D82264"/>
                  </w:placeholder>
                  <w:dataBinding w:prefixMappings="xmlns:ns0='http://schemas.microsoft.com/office/2006/coverPageProps'" w:xpath="/ns0:CoverPageProperties[1]/ns0:PublishDate[1]" w:storeItemID="{55AF091B-3C7A-41E3-B477-F2FDAA23CFDA}"/>
                  <w:date w:fullDate="2014-05-09T00:00:00Z">
                    <w:dateFormat w:val="M-d-yyyy"/>
                    <w:lid w:val="en-US"/>
                    <w:storeMappedDataAs w:val="dateTime"/>
                    <w:calendar w:val="gregorian"/>
                  </w:date>
                </w:sdtPr>
                <w:sdtEndPr/>
                <w:sdtContent>
                  <w:p w14:paraId="7E3D0498" w14:textId="77777777" w:rsidR="00CE65D6" w:rsidRDefault="00022FE4">
                    <w:pPr>
                      <w:pStyle w:val="NoSpacing"/>
                      <w:rPr>
                        <w:color w:val="5B9BD5" w:themeColor="accent1"/>
                        <w:sz w:val="28"/>
                        <w:szCs w:val="28"/>
                      </w:rPr>
                    </w:pPr>
                    <w:r>
                      <w:rPr>
                        <w:color w:val="5B9BD5" w:themeColor="accent1"/>
                        <w:sz w:val="28"/>
                        <w:szCs w:val="28"/>
                      </w:rPr>
                      <w:t>5-9</w:t>
                    </w:r>
                    <w:r w:rsidR="000A3315">
                      <w:rPr>
                        <w:color w:val="5B9BD5" w:themeColor="accent1"/>
                        <w:sz w:val="28"/>
                        <w:szCs w:val="28"/>
                      </w:rPr>
                      <w:t>-2014</w:t>
                    </w:r>
                  </w:p>
                </w:sdtContent>
              </w:sdt>
              <w:p w14:paraId="05E646AA" w14:textId="77777777" w:rsidR="00CE65D6" w:rsidRDefault="00CE65D6">
                <w:pPr>
                  <w:pStyle w:val="NoSpacing"/>
                  <w:rPr>
                    <w:color w:val="5B9BD5" w:themeColor="accent1"/>
                  </w:rPr>
                </w:pPr>
              </w:p>
            </w:tc>
          </w:tr>
        </w:tbl>
        <w:p w14:paraId="0050DC25" w14:textId="77777777" w:rsidR="00CE65D6" w:rsidRDefault="00CE65D6">
          <w:pPr>
            <w:rPr>
              <w:rFonts w:asciiTheme="majorHAnsi" w:eastAsiaTheme="majorEastAsia" w:hAnsiTheme="majorHAnsi" w:cstheme="majorBidi"/>
              <w:color w:val="2E74B5" w:themeColor="accent1" w:themeShade="BF"/>
              <w:sz w:val="32"/>
              <w:szCs w:val="32"/>
            </w:rPr>
          </w:pPr>
          <w:r>
            <w:br w:type="page"/>
          </w:r>
        </w:p>
      </w:sdtContent>
    </w:sdt>
    <w:p w14:paraId="391A2D04" w14:textId="77777777" w:rsidR="00682AA1" w:rsidRDefault="00682AA1" w:rsidP="008F540B">
      <w:pPr>
        <w:pStyle w:val="Heading1"/>
      </w:pPr>
      <w:r>
        <w:t>1</w:t>
      </w:r>
      <w:r w:rsidR="00CE65D6">
        <w:t>.</w:t>
      </w:r>
      <w:r>
        <w:t>INTRODUCTION</w:t>
      </w:r>
      <w:bookmarkEnd w:id="0"/>
    </w:p>
    <w:p w14:paraId="3C3DC76D" w14:textId="77777777" w:rsidR="00682AA1" w:rsidRPr="00682AA1" w:rsidRDefault="00682AA1" w:rsidP="008F540B">
      <w:r w:rsidRPr="00682AA1">
        <w:t xml:space="preserve">In response to California’s critical housing needs, the Legislature enacted housing element law with the goal of providing adequate and safe housing for every Californian. The attainment of housing for all requires the cooperation of local and state governments. </w:t>
      </w:r>
    </w:p>
    <w:p w14:paraId="291861B6" w14:textId="77777777" w:rsidR="00682AA1" w:rsidRPr="00682AA1" w:rsidRDefault="00682AA1" w:rsidP="008F540B">
      <w:pPr>
        <w:rPr>
          <w:rFonts w:eastAsia="Times New Roman" w:cs="Times New Roman"/>
          <w:snapToGrid w:val="0"/>
        </w:rPr>
      </w:pPr>
      <w:r w:rsidRPr="00682AA1">
        <w:rPr>
          <w:rFonts w:eastAsia="Times New Roman" w:cs="Times New Roman"/>
          <w:snapToGrid w:val="0"/>
        </w:rPr>
        <w:t xml:space="preserve">Housing element law requires local governments to adequately plan to meet their existing and projected housing needs including their share of the regional housing need. Housing element law is the state’s primary market-based strategy to increase housing supply. The law recognizes the most critical decisions regarding housing development occur at the local level within the context of the General Plan. In order for the private sector to adequately address housing needs and demand, local governments must adopt land use plans and regulatory schemes that provide opportunities for, and do not unduly constrain, housing development for all income groups. </w:t>
      </w:r>
    </w:p>
    <w:p w14:paraId="2769570A" w14:textId="77777777" w:rsidR="00682AA1" w:rsidRPr="00682AA1" w:rsidRDefault="00682AA1" w:rsidP="008F540B">
      <w:pPr>
        <w:rPr>
          <w:rFonts w:eastAsia="Times New Roman" w:cs="Times New Roman"/>
          <w:snapToGrid w:val="0"/>
        </w:rPr>
      </w:pPr>
      <w:r w:rsidRPr="00682AA1">
        <w:rPr>
          <w:rFonts w:eastAsia="Times New Roman" w:cs="Times New Roman"/>
          <w:snapToGrid w:val="0"/>
        </w:rPr>
        <w:t xml:space="preserve">Unlike the other mandatory elements of the General Plan, the Housing Element is subject to detailed statutory requirements regarding its content and must be updated every five years. The Housing Element is also subject to mandatory review by the California Department of Housing and Community Development (HCD). This reflects the statutory recognition that the availability of housing is a matter of statewide importance and that cooperation between all levels of government and the private sector is critical to attainment of the state’s housing goals. </w:t>
      </w:r>
    </w:p>
    <w:p w14:paraId="0F3CDEE5" w14:textId="77777777" w:rsidR="00682AA1" w:rsidRPr="00682AA1" w:rsidRDefault="00682AA1" w:rsidP="00682AA1">
      <w:pPr>
        <w:spacing w:after="0" w:line="240" w:lineRule="atLeast"/>
        <w:jc w:val="both"/>
        <w:rPr>
          <w:rFonts w:eastAsia="Times New Roman" w:cs="Times New Roman"/>
          <w:snapToGrid w:val="0"/>
        </w:rPr>
      </w:pPr>
    </w:p>
    <w:p w14:paraId="2D3FBCE0" w14:textId="77777777" w:rsidR="00682AA1" w:rsidRPr="00682AA1" w:rsidRDefault="002E1FEA" w:rsidP="00EF449A">
      <w:pPr>
        <w:pStyle w:val="Heading3"/>
      </w:pPr>
      <w:bookmarkStart w:id="1" w:name="_Toc383699984"/>
      <w:r>
        <w:t xml:space="preserve">a. </w:t>
      </w:r>
      <w:r w:rsidR="00682AA1" w:rsidRPr="00682AA1">
        <w:t>PUBLIC PARTICIPATION PROCESS</w:t>
      </w:r>
      <w:bookmarkEnd w:id="1"/>
      <w:r w:rsidR="00682AA1" w:rsidRPr="00682AA1">
        <w:fldChar w:fldCharType="begin"/>
      </w:r>
      <w:r w:rsidR="00682AA1" w:rsidRPr="00682AA1">
        <w:instrText xml:space="preserve"> TC  "</w:instrText>
      </w:r>
      <w:bookmarkStart w:id="2" w:name="_Toc53806426"/>
      <w:bookmarkStart w:id="3" w:name="_Toc66156018"/>
      <w:bookmarkStart w:id="4" w:name="_Toc76443938"/>
      <w:bookmarkStart w:id="5" w:name="_Toc123887071"/>
      <w:r w:rsidR="00682AA1" w:rsidRPr="00682AA1">
        <w:instrText>Public Participation</w:instrText>
      </w:r>
      <w:bookmarkEnd w:id="2"/>
      <w:bookmarkEnd w:id="3"/>
      <w:bookmarkEnd w:id="4"/>
      <w:r w:rsidR="00682AA1" w:rsidRPr="00682AA1">
        <w:instrText xml:space="preserve"> Process</w:instrText>
      </w:r>
      <w:bookmarkEnd w:id="5"/>
      <w:r w:rsidR="00682AA1" w:rsidRPr="00682AA1">
        <w:instrText xml:space="preserve">" \l 2 </w:instrText>
      </w:r>
      <w:r w:rsidR="00682AA1" w:rsidRPr="00682AA1">
        <w:fldChar w:fldCharType="end"/>
      </w:r>
    </w:p>
    <w:p w14:paraId="013DB45F" w14:textId="77777777" w:rsidR="00682AA1" w:rsidRPr="00682AA1" w:rsidRDefault="00682AA1" w:rsidP="003D5E81">
      <w:r w:rsidRPr="00682AA1">
        <w:t xml:space="preserve">The initial draft of the 2014 Housing Element Update was prepared by the Mono County Community Development Department. Housing issues and concerns for the unincorporated area were identified through ongoing discussions with the County's nine community and Regional Planning Advisory Committees (RPACs), which include a variety of local residents and local representatives from local, state, and federal agencies Based on comments received at those meetings, the existing Housing Element Policies were reviewed for consistency with community comments. Comments from those meetings are included in </w:t>
      </w:r>
      <w:r w:rsidR="00F3039C">
        <w:t>the summary of conclusions section</w:t>
      </w:r>
      <w:r w:rsidRPr="00682AA1">
        <w:t xml:space="preserve"> and have been addressed throughout the element.</w:t>
      </w:r>
    </w:p>
    <w:p w14:paraId="373D4F91" w14:textId="77777777" w:rsidR="00682AA1" w:rsidRPr="00682AA1" w:rsidRDefault="00682AA1" w:rsidP="003D5E81">
      <w:r w:rsidRPr="00682AA1">
        <w:t xml:space="preserve">Attempts were made to contact Hispanic community directly through the RPACs but there are currently no Hispanic groups active in the County. </w:t>
      </w:r>
    </w:p>
    <w:p w14:paraId="46224A37" w14:textId="77777777" w:rsidR="00682AA1" w:rsidRPr="00682AA1" w:rsidRDefault="00682AA1" w:rsidP="003D5E81">
      <w:pPr>
        <w:rPr>
          <w:rFonts w:cs="Times New Roman"/>
        </w:rPr>
      </w:pPr>
      <w:r w:rsidRPr="00682AA1">
        <w:rPr>
          <w:rFonts w:cs="Times New Roman"/>
        </w:rPr>
        <w:t xml:space="preserve">The Collaborative Planning Team also reviewed the County’s housing policies.  The Collaborative Planning Team is a multi-agency planning team, consisting of local, state, and federal agencies, which focuses on a variety of planning and resource use issues in the Eastern Sierra.  Members include Mono County, the Town of Mammoth Lakes, the Bureau of Land Management, the Lahontan Regional Water Quality Control Board, </w:t>
      </w:r>
      <w:r w:rsidRPr="00682AA1">
        <w:rPr>
          <w:rFonts w:cs="Times New Roman"/>
          <w:lang w:bidi="en-US"/>
        </w:rPr>
        <w:t>the California Department of Fish and Game, Caltrans, the Los Angeles Department of Water and Power, the Inyo National Forest, the Humboldt-Toiyabe National Forest, the Benton Paiute Reservation, and the Bridgeport Indian Colony.</w:t>
      </w:r>
    </w:p>
    <w:p w14:paraId="2C85EB6F" w14:textId="77777777" w:rsidR="00682AA1" w:rsidRPr="00682AA1" w:rsidRDefault="00682AA1" w:rsidP="003D5E81">
      <w:pPr>
        <w:rPr>
          <w:rFonts w:eastAsia="Times New Roman" w:cs="Times New Roman"/>
        </w:rPr>
      </w:pPr>
    </w:p>
    <w:p w14:paraId="28A5D7CB" w14:textId="77777777" w:rsidR="00682AA1" w:rsidRPr="00682AA1" w:rsidRDefault="00C038D9" w:rsidP="003D5E81">
      <w:pPr>
        <w:rPr>
          <w:rFonts w:eastAsia="Times New Roman" w:cs="Times New Roman"/>
        </w:rPr>
      </w:pPr>
      <w:r>
        <w:rPr>
          <w:rFonts w:eastAsia="Times New Roman" w:cs="Times New Roman"/>
        </w:rPr>
        <w:t>The draft update will be</w:t>
      </w:r>
      <w:r w:rsidR="00682AA1" w:rsidRPr="00682AA1">
        <w:rPr>
          <w:rFonts w:eastAsia="Times New Roman" w:cs="Times New Roman"/>
        </w:rPr>
        <w:t xml:space="preserve"> circulated to local agencies and organizations that provide housing- related services in the County, including:</w:t>
      </w:r>
    </w:p>
    <w:p w14:paraId="7D5451BF" w14:textId="77777777" w:rsidR="00682AA1" w:rsidRPr="00682AA1" w:rsidRDefault="00682AA1" w:rsidP="003D5E81">
      <w:pPr>
        <w:rPr>
          <w:rFonts w:eastAsia="Times New Roman" w:cs="Times New Roman"/>
        </w:rPr>
      </w:pPr>
    </w:p>
    <w:p w14:paraId="26D105C6" w14:textId="6C01CA69" w:rsidR="00682AA1" w:rsidRPr="00682AA1" w:rsidRDefault="00786B8E" w:rsidP="003D5E81">
      <w:pPr>
        <w:rPr>
          <w:rFonts w:eastAsia="Times New Roman" w:cs="Times New Roman"/>
        </w:rPr>
      </w:pPr>
      <w:r>
        <w:rPr>
          <w:rFonts w:eastAsia="Times New Roman" w:cs="Times New Roman"/>
        </w:rPr>
        <w:t xml:space="preserve">Eastern Sierra </w:t>
      </w:r>
      <w:r w:rsidR="00682AA1" w:rsidRPr="00682AA1">
        <w:rPr>
          <w:rFonts w:eastAsia="Times New Roman" w:cs="Times New Roman"/>
        </w:rPr>
        <w:t>Agency on Aging (</w:t>
      </w:r>
      <w:r>
        <w:rPr>
          <w:rFonts w:eastAsia="Times New Roman" w:cs="Times New Roman"/>
        </w:rPr>
        <w:t>ES</w:t>
      </w:r>
      <w:r w:rsidR="00682AA1" w:rsidRPr="00682AA1">
        <w:rPr>
          <w:rFonts w:eastAsia="Times New Roman" w:cs="Times New Roman"/>
        </w:rPr>
        <w:t>AA), Bishop, California;</w:t>
      </w:r>
    </w:p>
    <w:p w14:paraId="3BD73A4C" w14:textId="77777777" w:rsidR="00682AA1" w:rsidRPr="00682AA1" w:rsidRDefault="00682AA1" w:rsidP="003D5E81">
      <w:pPr>
        <w:rPr>
          <w:rFonts w:eastAsia="Times New Roman" w:cs="Times New Roman"/>
        </w:rPr>
      </w:pPr>
      <w:r w:rsidRPr="00682AA1">
        <w:rPr>
          <w:rFonts w:eastAsia="Times New Roman" w:cs="Times New Roman"/>
        </w:rPr>
        <w:t>Inyo Mono Advocates for Community Action (IMACA), Bishop, California;</w:t>
      </w:r>
    </w:p>
    <w:p w14:paraId="4AE44662" w14:textId="77777777" w:rsidR="00682AA1" w:rsidRPr="00682AA1" w:rsidRDefault="00682AA1" w:rsidP="003D5E81">
      <w:pPr>
        <w:rPr>
          <w:rFonts w:eastAsia="Times New Roman" w:cs="Times New Roman"/>
        </w:rPr>
      </w:pPr>
      <w:r w:rsidRPr="00682AA1">
        <w:rPr>
          <w:rFonts w:eastAsia="Times New Roman" w:cs="Times New Roman"/>
        </w:rPr>
        <w:t>Inyo Mono Association for the Handicapped (IM</w:t>
      </w:r>
      <w:bookmarkStart w:id="6" w:name="_GoBack"/>
      <w:bookmarkEnd w:id="6"/>
      <w:r w:rsidRPr="00682AA1">
        <w:rPr>
          <w:rFonts w:eastAsia="Times New Roman" w:cs="Times New Roman"/>
        </w:rPr>
        <w:t>AH), Bishop, California;</w:t>
      </w:r>
    </w:p>
    <w:p w14:paraId="326CF019" w14:textId="77777777" w:rsidR="00682AA1" w:rsidRPr="00682AA1" w:rsidRDefault="00682AA1" w:rsidP="003D5E81">
      <w:pPr>
        <w:rPr>
          <w:rFonts w:eastAsia="Times New Roman" w:cs="Times New Roman"/>
        </w:rPr>
      </w:pPr>
      <w:r w:rsidRPr="00682AA1">
        <w:rPr>
          <w:rFonts w:eastAsia="Times New Roman" w:cs="Times New Roman"/>
        </w:rPr>
        <w:t>Kern Regional Center, Bishop, California;</w:t>
      </w:r>
    </w:p>
    <w:p w14:paraId="1843C866" w14:textId="77777777" w:rsidR="00682AA1" w:rsidRPr="00682AA1" w:rsidRDefault="00682AA1" w:rsidP="003D5E81">
      <w:pPr>
        <w:rPr>
          <w:rFonts w:eastAsia="Times New Roman" w:cs="Times New Roman"/>
        </w:rPr>
      </w:pPr>
      <w:r w:rsidRPr="00682AA1">
        <w:rPr>
          <w:rFonts w:eastAsia="Times New Roman" w:cs="Times New Roman"/>
        </w:rPr>
        <w:t>Mammoth Lakes Housing, Mammoth Lakes, California; and</w:t>
      </w:r>
    </w:p>
    <w:p w14:paraId="7B6BB84F" w14:textId="77777777" w:rsidR="00682AA1" w:rsidRPr="00682AA1" w:rsidRDefault="00682AA1" w:rsidP="003D5E81">
      <w:pPr>
        <w:rPr>
          <w:rFonts w:eastAsia="Times New Roman" w:cs="Times New Roman"/>
        </w:rPr>
      </w:pPr>
      <w:r w:rsidRPr="00682AA1">
        <w:rPr>
          <w:rFonts w:eastAsia="Times New Roman" w:cs="Times New Roman"/>
        </w:rPr>
        <w:t>Mono County Department of Social Services, Bridgeport, California.</w:t>
      </w:r>
    </w:p>
    <w:p w14:paraId="6E8AA4EF" w14:textId="77777777" w:rsidR="00682AA1" w:rsidRPr="00682AA1" w:rsidRDefault="00682AA1" w:rsidP="003D5E81">
      <w:pPr>
        <w:rPr>
          <w:rFonts w:eastAsia="Times New Roman" w:cs="Times New Roman"/>
        </w:rPr>
      </w:pPr>
    </w:p>
    <w:p w14:paraId="57E656F0" w14:textId="77777777" w:rsidR="00682AA1" w:rsidRPr="00682AA1" w:rsidRDefault="00682AA1" w:rsidP="003D5E81">
      <w:pPr>
        <w:rPr>
          <w:rFonts w:eastAsia="Times New Roman" w:cs="Times New Roman"/>
        </w:rPr>
      </w:pPr>
      <w:r w:rsidRPr="00682AA1">
        <w:rPr>
          <w:rFonts w:eastAsia="Times New Roman" w:cs="Times New Roman"/>
        </w:rPr>
        <w:t>Notice of th</w:t>
      </w:r>
      <w:r w:rsidR="00C038D9">
        <w:rPr>
          <w:rFonts w:eastAsia="Times New Roman" w:cs="Times New Roman"/>
        </w:rPr>
        <w:t xml:space="preserve">e availability of the draft will </w:t>
      </w:r>
      <w:r w:rsidRPr="00682AA1">
        <w:rPr>
          <w:rFonts w:eastAsia="Times New Roman" w:cs="Times New Roman"/>
        </w:rPr>
        <w:t xml:space="preserve">also provided through publication in the local newspaper and by posting at County offices and public libraries.  </w:t>
      </w:r>
    </w:p>
    <w:p w14:paraId="3AA2279B" w14:textId="77777777" w:rsidR="00682AA1" w:rsidRPr="00682AA1" w:rsidRDefault="00682AA1" w:rsidP="003D5E81">
      <w:pPr>
        <w:rPr>
          <w:rFonts w:eastAsia="Times New Roman" w:cs="Times New Roman"/>
        </w:rPr>
      </w:pPr>
    </w:p>
    <w:p w14:paraId="79D626CB" w14:textId="77777777" w:rsidR="00682AA1" w:rsidRPr="00682AA1" w:rsidRDefault="00682AA1" w:rsidP="003D5E81">
      <w:r w:rsidRPr="00682AA1">
        <w:t xml:space="preserve">Both the Mono County Housing Authority and the Planning Commission have held public workshops to address housing issues and policies.  After completion of the public participation </w:t>
      </w:r>
      <w:r w:rsidR="00C038D9">
        <w:t xml:space="preserve">and HCD review </w:t>
      </w:r>
      <w:r w:rsidRPr="00682AA1">
        <w:t xml:space="preserve">process, The Mono County Planning Commission will hold a public hearing on the Draft 2014 Housing Element Update, and the Board of Supervisors will be hold a final adoption hearing pending recommendation of the Planning Commission. </w:t>
      </w:r>
    </w:p>
    <w:p w14:paraId="279B3082" w14:textId="77777777" w:rsidR="00682AA1" w:rsidRPr="00682AA1" w:rsidRDefault="002E1FEA" w:rsidP="00EF449A">
      <w:pPr>
        <w:pStyle w:val="Heading3"/>
      </w:pPr>
      <w:bookmarkStart w:id="7" w:name="_Toc383699985"/>
      <w:r>
        <w:t xml:space="preserve">b. </w:t>
      </w:r>
      <w:r w:rsidR="00682AA1" w:rsidRPr="00682AA1">
        <w:t>CONSISTENCY WITH THE GENERAL PLAN</w:t>
      </w:r>
      <w:bookmarkEnd w:id="7"/>
      <w:r w:rsidR="00682AA1" w:rsidRPr="00682AA1">
        <w:t xml:space="preserve">   </w:t>
      </w:r>
      <w:r w:rsidR="00682AA1" w:rsidRPr="00682AA1">
        <w:fldChar w:fldCharType="begin"/>
      </w:r>
      <w:r w:rsidR="00682AA1" w:rsidRPr="00682AA1">
        <w:instrText xml:space="preserve"> TC"</w:instrText>
      </w:r>
      <w:bookmarkStart w:id="8" w:name="_Toc53806427"/>
      <w:bookmarkStart w:id="9" w:name="_Toc66156019"/>
      <w:bookmarkStart w:id="10" w:name="_Toc76443939"/>
      <w:bookmarkStart w:id="11" w:name="_Toc123887073"/>
      <w:r w:rsidR="00682AA1" w:rsidRPr="00682AA1">
        <w:instrText>Consistency with the General Plan</w:instrText>
      </w:r>
      <w:bookmarkEnd w:id="8"/>
      <w:bookmarkEnd w:id="9"/>
      <w:bookmarkEnd w:id="10"/>
      <w:bookmarkEnd w:id="11"/>
      <w:r w:rsidR="00682AA1" w:rsidRPr="00682AA1">
        <w:instrText xml:space="preserve">"\l 2 </w:instrText>
      </w:r>
      <w:r w:rsidR="00682AA1" w:rsidRPr="00682AA1">
        <w:fldChar w:fldCharType="end"/>
      </w:r>
    </w:p>
    <w:p w14:paraId="07A0C153" w14:textId="77777777" w:rsidR="00682AA1" w:rsidRPr="00682AA1" w:rsidRDefault="00682AA1" w:rsidP="003D5E81">
      <w:r w:rsidRPr="00682AA1">
        <w:t xml:space="preserve">Development in Mono County is affected by policies in the County's General Plan, by standards in the Mono County Land Development Regulations, by land use requirements imposed by other agencies, and by requirements of the Subdivision Map Act and the County's Subdivision Ordinance. The County's General Plan serves as a comprehensive, long-range plan for the development of the area. The location of housing is determined primarily by policies contained in the Land Use Element, which establish the amount and distribution of various land uses throughout the County. The Land Use Element also specifies the maximum allowable density for each residential General Plan designation. </w:t>
      </w:r>
    </w:p>
    <w:p w14:paraId="3D253550" w14:textId="77777777" w:rsidR="00682AA1" w:rsidRPr="00682AA1" w:rsidRDefault="00682AA1" w:rsidP="003D5E81">
      <w:r w:rsidRPr="00682AA1">
        <w:t>In conformance with state law, the Mono County General Plan has been written to be internally consistent; the goals, objectives and policies of each element are intended to be consistent with those in other elements. The 2014 Housing Element Update was reviewed for consistency with the Land Use Element to determine if adequate sites are provided to allow for housing for all economic segments of the community. The Land Use Inventory shows that Mono County has more than adequate acreage to accommodate the housing needs projected by HCD in the Regional Housing Needs Plan prepared for the County.</w:t>
      </w:r>
    </w:p>
    <w:p w14:paraId="577B25B0" w14:textId="77777777" w:rsidR="00682AA1" w:rsidRPr="00682AA1" w:rsidRDefault="00682AA1" w:rsidP="003D5E81">
      <w:r w:rsidRPr="00682AA1">
        <w:t>The Housing Element was also reviewed for consistency with the Circulation and Conservation/Open Space Elements of the General Plan. In Mono County, the circulation system is well established, and there is little traffic congestion. When congestion does occur, it is not the result of residents’ commuting, but of recreational traffic at peak use periods or special events, combined with local use. Although the existing circulation system is generally adequate to provide for additional housing, the Circulation Element provides for improvements to the local transportation system that will allow for the continued development of housing.</w:t>
      </w:r>
    </w:p>
    <w:p w14:paraId="2A61B2CC" w14:textId="77777777" w:rsidR="00682AA1" w:rsidRPr="00682AA1" w:rsidRDefault="00682AA1" w:rsidP="003D5E81">
      <w:r w:rsidRPr="00682AA1">
        <w:t xml:space="preserve">Since 94 percent of the land in Mono County is publicly owned, and 90 percent is federally owned, much of Mono County remains open space. As a result, the provision of open space as a part of developed residential areas is not a particular concern in the County. Policies in both the Conservation/Open Space Element and the Land Use Element focus future development in existing community areas, providing additional open-space protection. </w:t>
      </w:r>
    </w:p>
    <w:p w14:paraId="0114F822" w14:textId="77777777" w:rsidR="00682AA1" w:rsidRPr="00682AA1" w:rsidRDefault="00682AA1" w:rsidP="003D5E81">
      <w:r w:rsidRPr="00682AA1">
        <w:t>General Plan consistency for all elements, including the Housing Element, will be maintained through required annual progress reports that address comments and issues identified through the County's ongoing public participation processes, such as Regional Planning Advisory Committee (RPAC) meetings.</w:t>
      </w:r>
    </w:p>
    <w:p w14:paraId="1C7FD06C" w14:textId="77777777" w:rsidR="00682AA1" w:rsidRPr="00682AA1" w:rsidRDefault="00682AA1" w:rsidP="008F540B">
      <w:pPr>
        <w:pStyle w:val="Heading1"/>
        <w:rPr>
          <w:rFonts w:cs="Tahoma"/>
        </w:rPr>
      </w:pPr>
      <w:bookmarkStart w:id="12" w:name="_Toc383699986"/>
      <w:r>
        <w:rPr>
          <w:rFonts w:cs="Tahoma"/>
        </w:rPr>
        <w:t xml:space="preserve">2. </w:t>
      </w:r>
      <w:r w:rsidRPr="00682AA1">
        <w:rPr>
          <w:rFonts w:cs="Tahoma"/>
        </w:rPr>
        <w:t>HOUSING NEEDS</w:t>
      </w:r>
      <w:bookmarkEnd w:id="12"/>
    </w:p>
    <w:p w14:paraId="6E6B8F2E" w14:textId="77777777" w:rsidR="00682AA1" w:rsidRPr="00682AA1" w:rsidRDefault="002E1FEA" w:rsidP="008F540B">
      <w:pPr>
        <w:pStyle w:val="Heading2"/>
        <w:rPr>
          <w:rFonts w:cs="Tahoma"/>
        </w:rPr>
      </w:pPr>
      <w:bookmarkStart w:id="13" w:name="_Toc383699987"/>
      <w:r>
        <w:rPr>
          <w:rFonts w:cs="Tahoma"/>
        </w:rPr>
        <w:t xml:space="preserve">A. </w:t>
      </w:r>
      <w:r w:rsidR="00682AA1" w:rsidRPr="00682AA1">
        <w:rPr>
          <w:rFonts w:cs="Tahoma"/>
        </w:rPr>
        <w:t>BACKGROUND</w:t>
      </w:r>
      <w:bookmarkEnd w:id="13"/>
    </w:p>
    <w:p w14:paraId="2F60DC26" w14:textId="77777777" w:rsidR="00682AA1" w:rsidRPr="00682AA1" w:rsidRDefault="002E1FEA" w:rsidP="008F540B">
      <w:pPr>
        <w:pStyle w:val="Heading3"/>
      </w:pPr>
      <w:bookmarkStart w:id="14" w:name="_Toc383699988"/>
      <w:r>
        <w:t xml:space="preserve">a. </w:t>
      </w:r>
      <w:r w:rsidR="00682AA1" w:rsidRPr="00682AA1">
        <w:t>AREA PROFILE</w:t>
      </w:r>
      <w:bookmarkEnd w:id="14"/>
      <w:r w:rsidR="00682AA1" w:rsidRPr="00682AA1">
        <w:fldChar w:fldCharType="begin"/>
      </w:r>
      <w:r w:rsidR="00682AA1" w:rsidRPr="00682AA1">
        <w:instrText xml:space="preserve"> TC  "</w:instrText>
      </w:r>
      <w:bookmarkStart w:id="15" w:name="_Toc53806429"/>
      <w:bookmarkStart w:id="16" w:name="_Toc66156021"/>
      <w:bookmarkStart w:id="17" w:name="_Toc76443941"/>
      <w:bookmarkStart w:id="18" w:name="_Toc123887076"/>
      <w:r w:rsidR="00682AA1" w:rsidRPr="00682AA1">
        <w:instrText>Area Profile</w:instrText>
      </w:r>
      <w:bookmarkEnd w:id="15"/>
      <w:bookmarkEnd w:id="16"/>
      <w:bookmarkEnd w:id="17"/>
      <w:bookmarkEnd w:id="18"/>
      <w:r w:rsidR="00682AA1" w:rsidRPr="00682AA1">
        <w:instrText xml:space="preserve">" \l 2 </w:instrText>
      </w:r>
      <w:r w:rsidR="00682AA1" w:rsidRPr="00682AA1">
        <w:fldChar w:fldCharType="end"/>
      </w:r>
    </w:p>
    <w:p w14:paraId="31EA6669" w14:textId="77777777" w:rsidR="00682AA1" w:rsidRPr="00682AA1" w:rsidRDefault="00682AA1" w:rsidP="00682AA1">
      <w:pPr>
        <w:spacing w:after="0" w:line="280" w:lineRule="atLeast"/>
        <w:jc w:val="both"/>
        <w:rPr>
          <w:rFonts w:eastAsia="Times New Roman" w:cs="Times New Roman"/>
        </w:rPr>
      </w:pPr>
      <w:r w:rsidRPr="00682AA1">
        <w:rPr>
          <w:rFonts w:eastAsia="Times New Roman" w:cs="Times New Roman"/>
        </w:rPr>
        <w:t xml:space="preserve">Mono County is located on the eastern side of the Sierra Nevada mountain range and is bordered to the east by the state of Nevada. Approximately 94 percent of the County's 3,103 square miles is publicly owned; as a result, tourism and recreation-oriented enterprises are the primary economic activity in the County. The major population center, and the County's only incorporated area, is the town of Mammoth Lakes. The remainder of the County's residents are scattered in small communities throughout the County. </w:t>
      </w:r>
    </w:p>
    <w:p w14:paraId="0867A45D" w14:textId="77777777" w:rsidR="00682AA1" w:rsidRPr="00682AA1" w:rsidRDefault="00682AA1" w:rsidP="00682AA1">
      <w:pPr>
        <w:spacing w:after="0" w:line="280" w:lineRule="atLeast"/>
        <w:jc w:val="both"/>
        <w:rPr>
          <w:rFonts w:eastAsia="Times New Roman" w:cs="Times New Roman"/>
        </w:rPr>
      </w:pPr>
    </w:p>
    <w:p w14:paraId="0B192B93" w14:textId="77777777" w:rsidR="00682AA1" w:rsidRPr="00682AA1" w:rsidRDefault="00682AA1" w:rsidP="00682AA1">
      <w:pPr>
        <w:spacing w:after="0" w:line="280" w:lineRule="atLeast"/>
        <w:jc w:val="both"/>
        <w:rPr>
          <w:rFonts w:eastAsia="Times New Roman" w:cs="Times New Roman"/>
        </w:rPr>
      </w:pPr>
      <w:r w:rsidRPr="00682AA1">
        <w:rPr>
          <w:rFonts w:eastAsia="Times New Roman" w:cs="Times New Roman"/>
        </w:rPr>
        <w:t>Communities in the County include: Topaz, Coleville and Walker in the Antelope Valley; Bridgeport, the County seat, in the Bridgeport Valley; Mono City and Lee Vining in the Mono Basin; June Lake in the June Lake Loop; Long Valley, McGee Creek, Crowley Lake, Aspen Springs and Sunny Slopes in Long Valley; Swall Meadows and Paradise in the Wheeler Crest area; and Chalfant, Hammil and Benton in the Tri-Valley.</w:t>
      </w:r>
    </w:p>
    <w:p w14:paraId="5FA96B2F" w14:textId="77777777" w:rsidR="00682AA1" w:rsidRPr="00682AA1" w:rsidRDefault="00682AA1" w:rsidP="00682AA1"/>
    <w:p w14:paraId="0181E08A" w14:textId="77777777" w:rsidR="00682AA1" w:rsidRPr="00682AA1" w:rsidRDefault="002E1FEA" w:rsidP="008F540B">
      <w:pPr>
        <w:pStyle w:val="Heading3"/>
      </w:pPr>
      <w:bookmarkStart w:id="19" w:name="_Toc383699989"/>
      <w:r>
        <w:t xml:space="preserve">b. </w:t>
      </w:r>
      <w:r w:rsidR="00682AA1" w:rsidRPr="00682AA1">
        <w:t>SOURCES FOR DEMOGRAPHIC &amp; HOUSING DATA</w:t>
      </w:r>
      <w:bookmarkEnd w:id="19"/>
    </w:p>
    <w:p w14:paraId="6E8FC846" w14:textId="77777777" w:rsidR="00682AA1" w:rsidRPr="00682AA1" w:rsidRDefault="00682AA1" w:rsidP="00682AA1">
      <w:pPr>
        <w:spacing w:line="280" w:lineRule="atLeast"/>
        <w:jc w:val="both"/>
      </w:pPr>
      <w:r w:rsidRPr="00682AA1">
        <w:t xml:space="preserve">The majority of the demographic and housing data in the following sections are from the U.S. Census 2010. The census data presented here are a synopsis of the data available from Census 2010. Complete census files can be found at </w:t>
      </w:r>
      <w:r w:rsidRPr="00682AA1">
        <w:rPr>
          <w:color w:val="0000FF"/>
          <w:u w:val="single"/>
        </w:rPr>
        <w:t>http://factfinder.census.gov</w:t>
      </w:r>
      <w:r w:rsidRPr="00682AA1">
        <w:t>. Additional demographic and economic information was obtained from the California Department of Finance (</w:t>
      </w:r>
      <w:hyperlink r:id="rId9" w:history="1">
        <w:r w:rsidRPr="00682AA1">
          <w:rPr>
            <w:color w:val="0000FF"/>
            <w:u w:val="single"/>
          </w:rPr>
          <w:t>www.dof.ca.gov</w:t>
        </w:r>
      </w:hyperlink>
      <w:r w:rsidRPr="00682AA1">
        <w:t xml:space="preserve">), HCD, and the Mono County IT department.  </w:t>
      </w:r>
    </w:p>
    <w:p w14:paraId="1D0323D6" w14:textId="77777777" w:rsidR="00682AA1" w:rsidRPr="00682AA1" w:rsidRDefault="002E1FEA" w:rsidP="008F540B">
      <w:pPr>
        <w:pStyle w:val="Heading3"/>
      </w:pPr>
      <w:bookmarkStart w:id="20" w:name="_Toc383699990"/>
      <w:r>
        <w:t xml:space="preserve">c. </w:t>
      </w:r>
      <w:r w:rsidR="00682AA1" w:rsidRPr="00682AA1">
        <w:t>CENSUS 2010</w:t>
      </w:r>
      <w:bookmarkEnd w:id="20"/>
    </w:p>
    <w:p w14:paraId="1C82983E" w14:textId="77777777" w:rsidR="00682AA1" w:rsidRPr="00682AA1" w:rsidRDefault="00682AA1" w:rsidP="00682AA1">
      <w:pPr>
        <w:spacing w:line="280" w:lineRule="atLeast"/>
        <w:jc w:val="both"/>
      </w:pPr>
      <w:r w:rsidRPr="00682AA1">
        <w:t>The 2010 census went to great efforts to reach every individual housing unit, however the census did not include the “long form” that in past census’ has provided much of the detailed demographic information.  Starting in 2005, an annual survey, the American Community Survey (ACS), has been sent to a small sample population and replaced the traditional long form format.  While promising to deliver much more accurate and timely demographic information in the future, due to the small population size of our communities, there is currently a large amount of error in the ACS data.  This error will decrease over time, but portions of the 2010 ACS data are too unreliable and in this document, the 2000 census figures are retained when error in the 2010 ACS is assumed to be high.</w:t>
      </w:r>
    </w:p>
    <w:p w14:paraId="591751A6" w14:textId="77777777" w:rsidR="00682AA1" w:rsidRPr="00682AA1" w:rsidRDefault="00682AA1" w:rsidP="00682AA1">
      <w:pPr>
        <w:spacing w:line="280" w:lineRule="atLeast"/>
        <w:jc w:val="both"/>
      </w:pPr>
      <w:r w:rsidRPr="00682AA1">
        <w:t>Census Designated Place (CDP) A CDP is a concentration of population identified by the Census Bureau for statistical purposes.  89.3% of the population in the unincorporated county lives within one of the 15 CDPs identified in Mono County and therefore the CDP has replaced the use of census tracts/blocks for general demographic analysis.</w:t>
      </w:r>
    </w:p>
    <w:p w14:paraId="6EA41FF3" w14:textId="77777777" w:rsidR="00682AA1" w:rsidRPr="00682AA1" w:rsidRDefault="002E1FEA" w:rsidP="008F540B">
      <w:pPr>
        <w:pStyle w:val="Heading2"/>
        <w:rPr>
          <w:rFonts w:cs="Tahoma"/>
        </w:rPr>
      </w:pPr>
      <w:bookmarkStart w:id="21" w:name="_Toc383699991"/>
      <w:r>
        <w:rPr>
          <w:rFonts w:cs="Tahoma"/>
        </w:rPr>
        <w:t xml:space="preserve">B. </w:t>
      </w:r>
      <w:r w:rsidR="00682AA1" w:rsidRPr="00682AA1">
        <w:rPr>
          <w:rFonts w:cs="Tahoma"/>
        </w:rPr>
        <w:t>EXISTING NEEDS</w:t>
      </w:r>
      <w:bookmarkEnd w:id="21"/>
    </w:p>
    <w:p w14:paraId="296A9488" w14:textId="77777777" w:rsidR="00682AA1" w:rsidRPr="00682AA1" w:rsidRDefault="002E1FEA" w:rsidP="008F540B">
      <w:pPr>
        <w:pStyle w:val="Heading3"/>
        <w:rPr>
          <w:rFonts w:cs="Tahoma"/>
        </w:rPr>
      </w:pPr>
      <w:bookmarkStart w:id="22" w:name="_Toc383699992"/>
      <w:r>
        <w:rPr>
          <w:rFonts w:cs="Tahoma"/>
        </w:rPr>
        <w:t xml:space="preserve">a. </w:t>
      </w:r>
      <w:r w:rsidR="00682AA1" w:rsidRPr="00682AA1">
        <w:rPr>
          <w:rFonts w:cs="Tahoma"/>
        </w:rPr>
        <w:t>POPULATION CHARACTERISTICS</w:t>
      </w:r>
      <w:bookmarkEnd w:id="22"/>
    </w:p>
    <w:p w14:paraId="78D0E491" w14:textId="77777777" w:rsidR="00682AA1" w:rsidRDefault="002E1FEA" w:rsidP="008F540B">
      <w:pPr>
        <w:pStyle w:val="Heading3"/>
      </w:pPr>
      <w:bookmarkStart w:id="23" w:name="_Toc383699993"/>
      <w:r>
        <w:t xml:space="preserve">b. </w:t>
      </w:r>
      <w:r w:rsidR="00682AA1" w:rsidRPr="00682AA1">
        <w:t>POPULATION GROWTH</w:t>
      </w:r>
      <w:bookmarkEnd w:id="23"/>
      <w:r w:rsidR="00682AA1" w:rsidRPr="00682AA1">
        <w:fldChar w:fldCharType="begin"/>
      </w:r>
      <w:r w:rsidR="00682AA1" w:rsidRPr="00682AA1">
        <w:instrText xml:space="preserve"> TC"</w:instrText>
      </w:r>
      <w:bookmarkStart w:id="24" w:name="_Toc53806434"/>
      <w:bookmarkStart w:id="25" w:name="_Toc66156026"/>
      <w:bookmarkStart w:id="26" w:name="_Toc76443946"/>
      <w:bookmarkStart w:id="27" w:name="_Toc123887083"/>
      <w:r w:rsidR="00682AA1" w:rsidRPr="00682AA1">
        <w:instrText>Population Growth</w:instrText>
      </w:r>
      <w:bookmarkEnd w:id="24"/>
      <w:bookmarkEnd w:id="25"/>
      <w:bookmarkEnd w:id="26"/>
      <w:bookmarkEnd w:id="27"/>
      <w:r w:rsidR="00682AA1" w:rsidRPr="00682AA1">
        <w:instrText xml:space="preserve">"\l 3 </w:instrText>
      </w:r>
      <w:r w:rsidR="00682AA1" w:rsidRPr="00682AA1">
        <w:fldChar w:fldCharType="end"/>
      </w:r>
    </w:p>
    <w:p w14:paraId="00DD939A" w14:textId="77777777" w:rsidR="00682AA1" w:rsidRDefault="00682AA1" w:rsidP="00682AA1">
      <w:pPr>
        <w:spacing w:line="280" w:lineRule="atLeast"/>
        <w:jc w:val="both"/>
      </w:pPr>
      <w:r w:rsidRPr="00682AA1">
        <w:t xml:space="preserve">Population growth trends in Mono County and its only incorporated city, the Town of Mammoth Lakes, continue a long-term trend of steady growth  that began around 1960 (Figure 1).  The highest rate of growth occurred in the 1970s and 1990s. In the 1990s, the percentage of the County’s total population living in the Town of Mammoth Lakes increased from 48 percent of the total population in 1990 to a majority 55 percent in 2000 and again increased up to 58 percent in 2010 (Figure 2). The California Department of Finance projects a modest population increase rate of .7% per year through 2013 (Table 1). </w:t>
      </w:r>
    </w:p>
    <w:p w14:paraId="4F743769" w14:textId="77777777" w:rsidR="004F1CEA" w:rsidRPr="004F1CEA" w:rsidRDefault="004F1CEA" w:rsidP="004F1CEA">
      <w:r w:rsidRPr="004F1CEA">
        <w:rPr>
          <w:noProof/>
        </w:rPr>
        <w:drawing>
          <wp:inline distT="0" distB="0" distL="0" distR="0" wp14:anchorId="46ACDAFA" wp14:editId="7059794A">
            <wp:extent cx="5010150" cy="27813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7EA764" w14:textId="77777777" w:rsidR="004F1CEA" w:rsidRPr="004F1CEA" w:rsidRDefault="004F1CEA" w:rsidP="004F1CEA">
      <w:r w:rsidRPr="004F1CEA">
        <w:t>Source US Census</w:t>
      </w:r>
    </w:p>
    <w:p w14:paraId="6DE86A03" w14:textId="77777777" w:rsidR="004F1CEA" w:rsidRPr="004F1CEA" w:rsidRDefault="004F1CEA" w:rsidP="004F1CEA">
      <w:pPr>
        <w:spacing w:line="280" w:lineRule="atLeast"/>
      </w:pPr>
      <w:r w:rsidRPr="004F1CEA">
        <w:t>Figure 2: Town/County % of Total Population 1990-2010</w:t>
      </w:r>
    </w:p>
    <w:p w14:paraId="0837E842" w14:textId="77777777" w:rsidR="004F1CEA" w:rsidRPr="004F1CEA" w:rsidRDefault="004F1CEA" w:rsidP="004F1CEA">
      <w:pPr>
        <w:spacing w:line="280" w:lineRule="atLeast"/>
        <w:jc w:val="both"/>
      </w:pPr>
      <w:r w:rsidRPr="004F1CEA">
        <w:rPr>
          <w:noProof/>
        </w:rPr>
        <w:drawing>
          <wp:inline distT="0" distB="0" distL="0" distR="0" wp14:anchorId="338F0F3C" wp14:editId="1248344F">
            <wp:extent cx="5476875" cy="1695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1695450"/>
                    </a:xfrm>
                    <a:prstGeom prst="rect">
                      <a:avLst/>
                    </a:prstGeom>
                    <a:noFill/>
                    <a:ln>
                      <a:noFill/>
                    </a:ln>
                  </pic:spPr>
                </pic:pic>
              </a:graphicData>
            </a:graphic>
          </wp:inline>
        </w:drawing>
      </w:r>
    </w:p>
    <w:p w14:paraId="63D5E67E" w14:textId="77777777" w:rsidR="004F1CEA" w:rsidRPr="004F1CEA" w:rsidRDefault="004F1CEA" w:rsidP="004F1CEA">
      <w:pPr>
        <w:spacing w:line="280" w:lineRule="atLeast"/>
        <w:jc w:val="both"/>
      </w:pPr>
      <w:r w:rsidRPr="004F1CEA">
        <w:t>Source: US Census</w:t>
      </w:r>
    </w:p>
    <w:p w14:paraId="1FF86AA8" w14:textId="77777777" w:rsidR="004F1CEA" w:rsidRPr="004F1CEA" w:rsidRDefault="004F1CEA" w:rsidP="00682AA1">
      <w:pPr>
        <w:spacing w:line="280" w:lineRule="atLeast"/>
        <w:jc w:val="both"/>
        <w:rPr>
          <w:b/>
        </w:rPr>
      </w:pPr>
    </w:p>
    <w:p w14:paraId="182084AD" w14:textId="77777777" w:rsidR="004F1CEA" w:rsidRPr="004F1CEA" w:rsidRDefault="004F1CEA" w:rsidP="004F1CEA">
      <w:pPr>
        <w:spacing w:line="280" w:lineRule="atLeast"/>
        <w:ind w:right="90"/>
      </w:pPr>
      <w:r w:rsidRPr="004F1CEA">
        <w:rPr>
          <w:b/>
        </w:rPr>
        <w:t>Table 1. Population Trend, Unincorporated County</w:t>
      </w:r>
      <w:r w:rsidRPr="004F1CEA">
        <w:fldChar w:fldCharType="begin"/>
      </w:r>
      <w:r w:rsidRPr="004F1CEA">
        <w:instrText xml:space="preserve"> TC"</w:instrText>
      </w:r>
      <w:bookmarkStart w:id="28" w:name="_Toc53809049"/>
      <w:bookmarkStart w:id="29" w:name="_Toc76444392"/>
      <w:bookmarkStart w:id="30" w:name="_Toc106530144"/>
      <w:bookmarkStart w:id="31" w:name="_Toc123886970"/>
      <w:r w:rsidRPr="004F1CEA">
        <w:instrText>Table 1</w:instrText>
      </w:r>
      <w:r w:rsidRPr="004F1CEA">
        <w:tab/>
        <w:instrText>Population Growth Trends, Mono County, 1980-200</w:instrText>
      </w:r>
      <w:bookmarkEnd w:id="28"/>
      <w:bookmarkEnd w:id="29"/>
      <w:r w:rsidRPr="004F1CEA">
        <w:instrText>8</w:instrText>
      </w:r>
      <w:bookmarkEnd w:id="30"/>
      <w:bookmarkEnd w:id="31"/>
      <w:r w:rsidRPr="004F1CEA">
        <w:instrText xml:space="preserve">"\f t </w:instrText>
      </w:r>
      <w:r w:rsidRPr="004F1CEA">
        <w:fldChar w:fldCharType="end"/>
      </w:r>
    </w:p>
    <w:tbl>
      <w:tblPr>
        <w:tblW w:w="6560" w:type="dxa"/>
        <w:tblInd w:w="5" w:type="dxa"/>
        <w:tblLook w:val="04A0" w:firstRow="1" w:lastRow="0" w:firstColumn="1" w:lastColumn="0" w:noHBand="0" w:noVBand="1"/>
      </w:tblPr>
      <w:tblGrid>
        <w:gridCol w:w="1547"/>
        <w:gridCol w:w="1917"/>
        <w:gridCol w:w="1548"/>
        <w:gridCol w:w="1548"/>
      </w:tblGrid>
      <w:tr w:rsidR="004F1CEA" w:rsidRPr="004F1CEA" w14:paraId="6831CCB1" w14:textId="77777777" w:rsidTr="004F1CE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EABE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Year</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14:paraId="26667D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Population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D9949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Change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26A9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Annual %</w:t>
            </w:r>
          </w:p>
        </w:tc>
      </w:tr>
      <w:tr w:rsidR="004F1CEA" w:rsidRPr="004F1CEA" w14:paraId="3E13A2F5" w14:textId="77777777"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868D5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1980</w:t>
            </w:r>
          </w:p>
        </w:tc>
        <w:tc>
          <w:tcPr>
            <w:tcW w:w="1189" w:type="dxa"/>
            <w:tcBorders>
              <w:top w:val="nil"/>
              <w:left w:val="nil"/>
              <w:bottom w:val="single" w:sz="4" w:space="0" w:color="auto"/>
              <w:right w:val="single" w:sz="4" w:space="0" w:color="auto"/>
            </w:tcBorders>
            <w:shd w:val="clear" w:color="auto" w:fill="auto"/>
            <w:noWrap/>
            <w:vAlign w:val="bottom"/>
            <w:hideMark/>
          </w:tcPr>
          <w:p w14:paraId="19EA650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4460</w:t>
            </w:r>
          </w:p>
        </w:tc>
        <w:tc>
          <w:tcPr>
            <w:tcW w:w="960" w:type="dxa"/>
            <w:tcBorders>
              <w:top w:val="nil"/>
              <w:left w:val="nil"/>
              <w:bottom w:val="single" w:sz="4" w:space="0" w:color="auto"/>
              <w:right w:val="single" w:sz="4" w:space="0" w:color="auto"/>
            </w:tcBorders>
            <w:shd w:val="clear" w:color="auto" w:fill="auto"/>
            <w:noWrap/>
            <w:vAlign w:val="bottom"/>
            <w:hideMark/>
          </w:tcPr>
          <w:p w14:paraId="5031BBFE" w14:textId="77777777" w:rsidR="004F1CEA" w:rsidRPr="004F1CEA" w:rsidRDefault="004F1CEA" w:rsidP="004F1CEA">
            <w:pPr>
              <w:spacing w:after="0" w:line="240" w:lineRule="auto"/>
              <w:jc w:val="center"/>
              <w:rPr>
                <w:rFonts w:eastAsia="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1F05D6F1" w14:textId="77777777" w:rsidR="004F1CEA" w:rsidRPr="004F1CEA" w:rsidRDefault="004F1CEA" w:rsidP="004F1CEA">
            <w:pPr>
              <w:spacing w:after="0" w:line="240" w:lineRule="auto"/>
              <w:jc w:val="center"/>
              <w:rPr>
                <w:rFonts w:eastAsia="Times New Roman" w:cs="Times New Roman"/>
                <w:color w:val="000000"/>
              </w:rPr>
            </w:pPr>
          </w:p>
        </w:tc>
      </w:tr>
      <w:tr w:rsidR="004F1CEA" w:rsidRPr="004F1CEA" w14:paraId="6A89C76A" w14:textId="77777777"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5F6ED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1990</w:t>
            </w:r>
          </w:p>
        </w:tc>
        <w:tc>
          <w:tcPr>
            <w:tcW w:w="1189" w:type="dxa"/>
            <w:tcBorders>
              <w:top w:val="nil"/>
              <w:left w:val="nil"/>
              <w:bottom w:val="single" w:sz="4" w:space="0" w:color="auto"/>
              <w:right w:val="single" w:sz="4" w:space="0" w:color="auto"/>
            </w:tcBorders>
            <w:shd w:val="clear" w:color="auto" w:fill="auto"/>
            <w:noWrap/>
            <w:vAlign w:val="bottom"/>
            <w:hideMark/>
          </w:tcPr>
          <w:p w14:paraId="722B0B4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5171</w:t>
            </w:r>
          </w:p>
        </w:tc>
        <w:tc>
          <w:tcPr>
            <w:tcW w:w="960" w:type="dxa"/>
            <w:tcBorders>
              <w:top w:val="nil"/>
              <w:left w:val="nil"/>
              <w:bottom w:val="single" w:sz="4" w:space="0" w:color="auto"/>
              <w:right w:val="single" w:sz="4" w:space="0" w:color="auto"/>
            </w:tcBorders>
            <w:shd w:val="clear" w:color="auto" w:fill="auto"/>
            <w:noWrap/>
            <w:vAlign w:val="bottom"/>
            <w:hideMark/>
          </w:tcPr>
          <w:p w14:paraId="785CD4A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15.9</w:t>
            </w:r>
          </w:p>
        </w:tc>
        <w:tc>
          <w:tcPr>
            <w:tcW w:w="960" w:type="dxa"/>
            <w:tcBorders>
              <w:top w:val="nil"/>
              <w:left w:val="nil"/>
              <w:bottom w:val="single" w:sz="4" w:space="0" w:color="auto"/>
              <w:right w:val="single" w:sz="4" w:space="0" w:color="auto"/>
            </w:tcBorders>
            <w:shd w:val="clear" w:color="auto" w:fill="auto"/>
            <w:noWrap/>
            <w:vAlign w:val="bottom"/>
            <w:hideMark/>
          </w:tcPr>
          <w:p w14:paraId="1C57ACB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r>
      <w:tr w:rsidR="004F1CEA" w:rsidRPr="004F1CEA" w14:paraId="4A7ED8A2" w14:textId="77777777"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B40CA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2000</w:t>
            </w:r>
          </w:p>
        </w:tc>
        <w:tc>
          <w:tcPr>
            <w:tcW w:w="1189" w:type="dxa"/>
            <w:tcBorders>
              <w:top w:val="nil"/>
              <w:left w:val="nil"/>
              <w:bottom w:val="single" w:sz="4" w:space="0" w:color="auto"/>
              <w:right w:val="single" w:sz="4" w:space="0" w:color="auto"/>
            </w:tcBorders>
            <w:shd w:val="clear" w:color="auto" w:fill="auto"/>
            <w:noWrap/>
            <w:vAlign w:val="bottom"/>
            <w:hideMark/>
          </w:tcPr>
          <w:p w14:paraId="1056C9D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5759</w:t>
            </w:r>
          </w:p>
        </w:tc>
        <w:tc>
          <w:tcPr>
            <w:tcW w:w="960" w:type="dxa"/>
            <w:tcBorders>
              <w:top w:val="nil"/>
              <w:left w:val="nil"/>
              <w:bottom w:val="single" w:sz="4" w:space="0" w:color="auto"/>
              <w:right w:val="single" w:sz="4" w:space="0" w:color="auto"/>
            </w:tcBorders>
            <w:shd w:val="clear" w:color="auto" w:fill="auto"/>
            <w:noWrap/>
            <w:vAlign w:val="bottom"/>
            <w:hideMark/>
          </w:tcPr>
          <w:p w14:paraId="6C8964F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11.4</w:t>
            </w:r>
          </w:p>
        </w:tc>
        <w:tc>
          <w:tcPr>
            <w:tcW w:w="960" w:type="dxa"/>
            <w:tcBorders>
              <w:top w:val="nil"/>
              <w:left w:val="nil"/>
              <w:bottom w:val="single" w:sz="4" w:space="0" w:color="auto"/>
              <w:right w:val="single" w:sz="4" w:space="0" w:color="auto"/>
            </w:tcBorders>
            <w:shd w:val="clear" w:color="auto" w:fill="auto"/>
            <w:noWrap/>
            <w:vAlign w:val="bottom"/>
            <w:hideMark/>
          </w:tcPr>
          <w:p w14:paraId="6DF426B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r>
      <w:tr w:rsidR="004F1CEA" w:rsidRPr="004F1CEA" w14:paraId="667F66F1" w14:textId="77777777"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498CB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2010</w:t>
            </w:r>
          </w:p>
        </w:tc>
        <w:tc>
          <w:tcPr>
            <w:tcW w:w="1189" w:type="dxa"/>
            <w:tcBorders>
              <w:top w:val="nil"/>
              <w:left w:val="nil"/>
              <w:bottom w:val="single" w:sz="4" w:space="0" w:color="auto"/>
              <w:right w:val="single" w:sz="4" w:space="0" w:color="auto"/>
            </w:tcBorders>
            <w:shd w:val="clear" w:color="auto" w:fill="auto"/>
            <w:noWrap/>
            <w:vAlign w:val="bottom"/>
            <w:hideMark/>
          </w:tcPr>
          <w:p w14:paraId="43A7A4A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5968</w:t>
            </w:r>
          </w:p>
        </w:tc>
        <w:tc>
          <w:tcPr>
            <w:tcW w:w="960" w:type="dxa"/>
            <w:tcBorders>
              <w:top w:val="nil"/>
              <w:left w:val="nil"/>
              <w:bottom w:val="single" w:sz="4" w:space="0" w:color="auto"/>
              <w:right w:val="single" w:sz="4" w:space="0" w:color="auto"/>
            </w:tcBorders>
            <w:shd w:val="clear" w:color="auto" w:fill="auto"/>
            <w:noWrap/>
            <w:vAlign w:val="bottom"/>
            <w:hideMark/>
          </w:tcPr>
          <w:p w14:paraId="1164EE7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681E1E5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r>
      <w:tr w:rsidR="004F1CEA" w:rsidRPr="004F1CEA" w14:paraId="31D188E2" w14:textId="77777777"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9D1C3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2011</w:t>
            </w:r>
          </w:p>
        </w:tc>
        <w:tc>
          <w:tcPr>
            <w:tcW w:w="1189" w:type="dxa"/>
            <w:tcBorders>
              <w:top w:val="nil"/>
              <w:left w:val="nil"/>
              <w:bottom w:val="single" w:sz="4" w:space="0" w:color="auto"/>
              <w:right w:val="single" w:sz="4" w:space="0" w:color="auto"/>
            </w:tcBorders>
            <w:shd w:val="clear" w:color="auto" w:fill="auto"/>
            <w:noWrap/>
            <w:vAlign w:val="bottom"/>
            <w:hideMark/>
          </w:tcPr>
          <w:p w14:paraId="6651578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6103</w:t>
            </w:r>
          </w:p>
        </w:tc>
        <w:tc>
          <w:tcPr>
            <w:tcW w:w="960" w:type="dxa"/>
            <w:tcBorders>
              <w:top w:val="nil"/>
              <w:left w:val="nil"/>
              <w:bottom w:val="single" w:sz="4" w:space="0" w:color="auto"/>
              <w:right w:val="single" w:sz="4" w:space="0" w:color="auto"/>
            </w:tcBorders>
            <w:shd w:val="clear" w:color="auto" w:fill="auto"/>
            <w:noWrap/>
            <w:vAlign w:val="bottom"/>
            <w:hideMark/>
          </w:tcPr>
          <w:p w14:paraId="5998C50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14:paraId="54CC046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w:t>
            </w:r>
          </w:p>
        </w:tc>
      </w:tr>
      <w:tr w:rsidR="004F1CEA" w:rsidRPr="004F1CEA" w14:paraId="3927F381" w14:textId="77777777"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7D190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2012</w:t>
            </w:r>
          </w:p>
        </w:tc>
        <w:tc>
          <w:tcPr>
            <w:tcW w:w="1189" w:type="dxa"/>
            <w:tcBorders>
              <w:top w:val="nil"/>
              <w:left w:val="nil"/>
              <w:bottom w:val="single" w:sz="4" w:space="0" w:color="auto"/>
              <w:right w:val="single" w:sz="4" w:space="0" w:color="auto"/>
            </w:tcBorders>
            <w:shd w:val="clear" w:color="auto" w:fill="auto"/>
            <w:noWrap/>
            <w:vAlign w:val="bottom"/>
            <w:hideMark/>
          </w:tcPr>
          <w:p w14:paraId="3036BE1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6144</w:t>
            </w:r>
          </w:p>
        </w:tc>
        <w:tc>
          <w:tcPr>
            <w:tcW w:w="960" w:type="dxa"/>
            <w:tcBorders>
              <w:top w:val="nil"/>
              <w:left w:val="nil"/>
              <w:bottom w:val="single" w:sz="4" w:space="0" w:color="auto"/>
              <w:right w:val="single" w:sz="4" w:space="0" w:color="auto"/>
            </w:tcBorders>
            <w:shd w:val="clear" w:color="auto" w:fill="auto"/>
            <w:noWrap/>
            <w:vAlign w:val="bottom"/>
            <w:hideMark/>
          </w:tcPr>
          <w:p w14:paraId="3F28802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14:paraId="0FC950A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0.7</w:t>
            </w:r>
          </w:p>
        </w:tc>
      </w:tr>
      <w:tr w:rsidR="004F1CEA" w:rsidRPr="004F1CEA" w14:paraId="664B89B0" w14:textId="77777777" w:rsidTr="004F1C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B577B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2013</w:t>
            </w:r>
          </w:p>
        </w:tc>
        <w:tc>
          <w:tcPr>
            <w:tcW w:w="1189" w:type="dxa"/>
            <w:tcBorders>
              <w:top w:val="nil"/>
              <w:left w:val="nil"/>
              <w:bottom w:val="single" w:sz="4" w:space="0" w:color="auto"/>
              <w:right w:val="single" w:sz="4" w:space="0" w:color="auto"/>
            </w:tcBorders>
            <w:shd w:val="clear" w:color="auto" w:fill="auto"/>
            <w:noWrap/>
            <w:vAlign w:val="bottom"/>
            <w:hideMark/>
          </w:tcPr>
          <w:p w14:paraId="68BEE89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6186</w:t>
            </w:r>
          </w:p>
        </w:tc>
        <w:tc>
          <w:tcPr>
            <w:tcW w:w="960" w:type="dxa"/>
            <w:tcBorders>
              <w:top w:val="nil"/>
              <w:left w:val="nil"/>
              <w:bottom w:val="single" w:sz="4" w:space="0" w:color="auto"/>
              <w:right w:val="single" w:sz="4" w:space="0" w:color="auto"/>
            </w:tcBorders>
            <w:shd w:val="clear" w:color="auto" w:fill="auto"/>
            <w:noWrap/>
            <w:vAlign w:val="bottom"/>
            <w:hideMark/>
          </w:tcPr>
          <w:p w14:paraId="7EED063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14:paraId="66159D9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0.7</w:t>
            </w:r>
          </w:p>
        </w:tc>
      </w:tr>
    </w:tbl>
    <w:p w14:paraId="7AEE0AFD" w14:textId="77777777" w:rsidR="004F1CEA" w:rsidRPr="004F1CEA" w:rsidRDefault="004F1CEA" w:rsidP="004F1CEA">
      <w:r w:rsidRPr="004F1CEA">
        <w:t>Source: US Census, CA Dept. of Finance</w:t>
      </w:r>
    </w:p>
    <w:p w14:paraId="192874E3" w14:textId="77777777" w:rsidR="004F1CEA" w:rsidRPr="004F1CEA" w:rsidRDefault="004F1CEA" w:rsidP="004F1CEA">
      <w:pPr>
        <w:spacing w:line="280" w:lineRule="atLeast"/>
      </w:pPr>
      <w:r w:rsidRPr="004F1CEA">
        <w:t>Table 1.2 Population by CDP, 2010</w:t>
      </w:r>
    </w:p>
    <w:tbl>
      <w:tblPr>
        <w:tblW w:w="6560" w:type="dxa"/>
        <w:tblLook w:val="04A0" w:firstRow="1" w:lastRow="0" w:firstColumn="1" w:lastColumn="0" w:noHBand="0" w:noVBand="1"/>
      </w:tblPr>
      <w:tblGrid>
        <w:gridCol w:w="2140"/>
        <w:gridCol w:w="1400"/>
        <w:gridCol w:w="960"/>
        <w:gridCol w:w="1100"/>
        <w:gridCol w:w="960"/>
      </w:tblGrid>
      <w:tr w:rsidR="004F1CEA" w:rsidRPr="004F1CEA" w14:paraId="464E4142" w14:textId="77777777" w:rsidTr="004F1CEA">
        <w:trPr>
          <w:trHeight w:val="2805"/>
        </w:trPr>
        <w:tc>
          <w:tcPr>
            <w:tcW w:w="2140" w:type="dxa"/>
            <w:tcBorders>
              <w:top w:val="nil"/>
              <w:left w:val="nil"/>
              <w:bottom w:val="nil"/>
              <w:right w:val="nil"/>
            </w:tcBorders>
            <w:shd w:val="clear" w:color="auto" w:fill="auto"/>
            <w:noWrap/>
            <w:vAlign w:val="bottom"/>
            <w:hideMark/>
          </w:tcPr>
          <w:p w14:paraId="4018EE60" w14:textId="77777777" w:rsidR="004F1CEA" w:rsidRPr="004F1CEA" w:rsidRDefault="004F1CEA" w:rsidP="004F1CEA">
            <w:pPr>
              <w:spacing w:after="0" w:line="240" w:lineRule="auto"/>
              <w:rPr>
                <w:rFonts w:eastAsia="Times New Roman" w:cs="Times New Roman"/>
              </w:rPr>
            </w:pPr>
          </w:p>
          <w:p w14:paraId="177D9E69" w14:textId="77777777" w:rsidR="004F1CEA" w:rsidRPr="004F1CEA" w:rsidRDefault="004F1CEA" w:rsidP="004F1CEA">
            <w:pPr>
              <w:spacing w:after="0" w:line="240" w:lineRule="auto"/>
              <w:rPr>
                <w:rFonts w:eastAsia="Times New Roman" w:cs="Times New Roman"/>
              </w:rPr>
            </w:pPr>
          </w:p>
          <w:p w14:paraId="4932EB33" w14:textId="77777777" w:rsidR="004F1CEA" w:rsidRPr="004F1CEA" w:rsidRDefault="004F1CEA" w:rsidP="004F1CEA">
            <w:pPr>
              <w:spacing w:after="0" w:line="240" w:lineRule="auto"/>
              <w:rPr>
                <w:rFonts w:eastAsia="Times New Roman" w:cs="Times New Roman"/>
              </w:rPr>
            </w:pPr>
          </w:p>
          <w:p w14:paraId="4175E130" w14:textId="77777777" w:rsidR="004F1CEA" w:rsidRPr="004F1CEA" w:rsidRDefault="004F1CEA" w:rsidP="004F1CEA">
            <w:pPr>
              <w:spacing w:after="0" w:line="240" w:lineRule="auto"/>
              <w:rPr>
                <w:rFonts w:eastAsia="Times New Roman" w:cs="Times New Roman"/>
              </w:rPr>
            </w:pPr>
          </w:p>
        </w:tc>
        <w:tc>
          <w:tcPr>
            <w:tcW w:w="1400" w:type="dxa"/>
            <w:tcBorders>
              <w:top w:val="nil"/>
              <w:left w:val="nil"/>
              <w:bottom w:val="nil"/>
              <w:right w:val="nil"/>
            </w:tcBorders>
            <w:shd w:val="clear" w:color="auto" w:fill="auto"/>
            <w:noWrap/>
            <w:textDirection w:val="btLr"/>
            <w:vAlign w:val="bottom"/>
            <w:hideMark/>
          </w:tcPr>
          <w:p w14:paraId="624CCA3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Population</w:t>
            </w:r>
          </w:p>
        </w:tc>
        <w:tc>
          <w:tcPr>
            <w:tcW w:w="960" w:type="dxa"/>
            <w:tcBorders>
              <w:top w:val="nil"/>
              <w:left w:val="nil"/>
              <w:bottom w:val="nil"/>
              <w:right w:val="nil"/>
            </w:tcBorders>
            <w:shd w:val="clear" w:color="auto" w:fill="auto"/>
            <w:noWrap/>
            <w:textDirection w:val="btLr"/>
            <w:vAlign w:val="bottom"/>
            <w:hideMark/>
          </w:tcPr>
          <w:p w14:paraId="36F6DA1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of Countywide Population</w:t>
            </w:r>
          </w:p>
        </w:tc>
        <w:tc>
          <w:tcPr>
            <w:tcW w:w="1100" w:type="dxa"/>
            <w:tcBorders>
              <w:top w:val="nil"/>
              <w:left w:val="nil"/>
              <w:bottom w:val="nil"/>
              <w:right w:val="nil"/>
            </w:tcBorders>
            <w:shd w:val="clear" w:color="auto" w:fill="auto"/>
            <w:noWrap/>
            <w:textDirection w:val="btLr"/>
            <w:vAlign w:val="bottom"/>
            <w:hideMark/>
          </w:tcPr>
          <w:p w14:paraId="3719F8C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of Countywide - Town</w:t>
            </w:r>
          </w:p>
        </w:tc>
        <w:tc>
          <w:tcPr>
            <w:tcW w:w="960" w:type="dxa"/>
            <w:tcBorders>
              <w:top w:val="nil"/>
              <w:left w:val="nil"/>
              <w:bottom w:val="nil"/>
              <w:right w:val="nil"/>
            </w:tcBorders>
            <w:shd w:val="clear" w:color="auto" w:fill="auto"/>
            <w:noWrap/>
            <w:textDirection w:val="btLr"/>
            <w:vAlign w:val="bottom"/>
            <w:hideMark/>
          </w:tcPr>
          <w:p w14:paraId="7A69C24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of CDP Population</w:t>
            </w:r>
          </w:p>
        </w:tc>
      </w:tr>
      <w:tr w:rsidR="004F1CEA" w:rsidRPr="004F1CEA" w14:paraId="7F022205" w14:textId="77777777" w:rsidTr="004F1CEA">
        <w:trPr>
          <w:trHeight w:val="300"/>
        </w:trPr>
        <w:tc>
          <w:tcPr>
            <w:tcW w:w="2140" w:type="dxa"/>
            <w:tcBorders>
              <w:top w:val="single" w:sz="4" w:space="0" w:color="auto"/>
              <w:left w:val="single" w:sz="4" w:space="0" w:color="auto"/>
              <w:bottom w:val="single" w:sz="4" w:space="0" w:color="auto"/>
              <w:right w:val="nil"/>
            </w:tcBorders>
            <w:shd w:val="clear" w:color="auto" w:fill="auto"/>
            <w:noWrap/>
            <w:vAlign w:val="bottom"/>
            <w:hideMark/>
          </w:tcPr>
          <w:p w14:paraId="432A4E6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DAB11"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14,202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687E1F"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FBB480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C6E314"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6DF3E321"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0FE01D05" w14:textId="77777777" w:rsidR="004F1CEA" w:rsidRPr="004F1CEA" w:rsidRDefault="004F1CEA" w:rsidP="004F1CEA">
            <w:pPr>
              <w:spacing w:after="0" w:line="240" w:lineRule="auto"/>
              <w:rPr>
                <w:rFonts w:eastAsia="Times New Roman" w:cs="Times New Roman"/>
                <w:b/>
                <w:bCs/>
                <w:color w:val="000000"/>
              </w:rPr>
            </w:pPr>
            <w:r w:rsidRPr="004F1CEA">
              <w:rPr>
                <w:rFonts w:eastAsia="Times New Roman" w:cs="Times New Roman"/>
                <w:b/>
                <w:bCs/>
                <w:color w:val="000000"/>
              </w:rPr>
              <w:t> </w:t>
            </w:r>
          </w:p>
        </w:tc>
        <w:tc>
          <w:tcPr>
            <w:tcW w:w="1400" w:type="dxa"/>
            <w:tcBorders>
              <w:top w:val="nil"/>
              <w:left w:val="single" w:sz="4" w:space="0" w:color="auto"/>
              <w:bottom w:val="single" w:sz="4" w:space="0" w:color="auto"/>
              <w:right w:val="nil"/>
            </w:tcBorders>
            <w:shd w:val="clear" w:color="auto" w:fill="auto"/>
            <w:noWrap/>
            <w:vAlign w:val="bottom"/>
            <w:hideMark/>
          </w:tcPr>
          <w:p w14:paraId="23C5FE64"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7DBD174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14:paraId="5A3397B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84F86D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7C29370F"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405D55B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Mammoth Lakes</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7ADF02C"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8,234</w:t>
            </w:r>
          </w:p>
        </w:tc>
        <w:tc>
          <w:tcPr>
            <w:tcW w:w="960" w:type="dxa"/>
            <w:tcBorders>
              <w:top w:val="nil"/>
              <w:left w:val="nil"/>
              <w:bottom w:val="single" w:sz="4" w:space="0" w:color="auto"/>
              <w:right w:val="single" w:sz="4" w:space="0" w:color="auto"/>
            </w:tcBorders>
            <w:shd w:val="clear" w:color="auto" w:fill="auto"/>
            <w:noWrap/>
            <w:vAlign w:val="bottom"/>
            <w:hideMark/>
          </w:tcPr>
          <w:p w14:paraId="46E3A5A5"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58.0%</w:t>
            </w:r>
          </w:p>
        </w:tc>
        <w:tc>
          <w:tcPr>
            <w:tcW w:w="1100" w:type="dxa"/>
            <w:tcBorders>
              <w:top w:val="nil"/>
              <w:left w:val="nil"/>
              <w:bottom w:val="single" w:sz="4" w:space="0" w:color="auto"/>
              <w:right w:val="single" w:sz="4" w:space="0" w:color="auto"/>
            </w:tcBorders>
            <w:shd w:val="clear" w:color="auto" w:fill="auto"/>
            <w:noWrap/>
            <w:vAlign w:val="bottom"/>
            <w:hideMark/>
          </w:tcPr>
          <w:p w14:paraId="265686B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07B7AF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72B60BAF"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543238C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400" w:type="dxa"/>
            <w:tcBorders>
              <w:top w:val="nil"/>
              <w:left w:val="single" w:sz="4" w:space="0" w:color="auto"/>
              <w:bottom w:val="single" w:sz="4" w:space="0" w:color="auto"/>
              <w:right w:val="nil"/>
            </w:tcBorders>
            <w:shd w:val="clear" w:color="auto" w:fill="auto"/>
            <w:noWrap/>
            <w:vAlign w:val="bottom"/>
            <w:hideMark/>
          </w:tcPr>
          <w:p w14:paraId="25B90DB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47504D78"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14:paraId="6EB8D79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432FA38"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3A1D4617"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4CEB348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 -Town</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64A237C"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5,968</w:t>
            </w:r>
          </w:p>
        </w:tc>
        <w:tc>
          <w:tcPr>
            <w:tcW w:w="960" w:type="dxa"/>
            <w:tcBorders>
              <w:top w:val="nil"/>
              <w:left w:val="nil"/>
              <w:bottom w:val="single" w:sz="4" w:space="0" w:color="auto"/>
              <w:right w:val="single" w:sz="4" w:space="0" w:color="auto"/>
            </w:tcBorders>
            <w:shd w:val="clear" w:color="auto" w:fill="auto"/>
            <w:noWrap/>
            <w:vAlign w:val="bottom"/>
            <w:hideMark/>
          </w:tcPr>
          <w:p w14:paraId="15403819"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42.0%</w:t>
            </w:r>
          </w:p>
        </w:tc>
        <w:tc>
          <w:tcPr>
            <w:tcW w:w="1100" w:type="dxa"/>
            <w:tcBorders>
              <w:top w:val="nil"/>
              <w:left w:val="nil"/>
              <w:bottom w:val="single" w:sz="4" w:space="0" w:color="auto"/>
              <w:right w:val="single" w:sz="4" w:space="0" w:color="auto"/>
            </w:tcBorders>
            <w:shd w:val="clear" w:color="auto" w:fill="auto"/>
            <w:noWrap/>
            <w:vAlign w:val="bottom"/>
            <w:hideMark/>
          </w:tcPr>
          <w:p w14:paraId="5BB4C7DC"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164264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754D7FA2"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1016A11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400" w:type="dxa"/>
            <w:tcBorders>
              <w:top w:val="nil"/>
              <w:left w:val="single" w:sz="4" w:space="0" w:color="auto"/>
              <w:bottom w:val="nil"/>
              <w:right w:val="nil"/>
            </w:tcBorders>
            <w:shd w:val="clear" w:color="auto" w:fill="auto"/>
            <w:noWrap/>
            <w:vAlign w:val="bottom"/>
            <w:hideMark/>
          </w:tcPr>
          <w:p w14:paraId="4F2EED2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nil"/>
              <w:right w:val="nil"/>
            </w:tcBorders>
            <w:shd w:val="clear" w:color="auto" w:fill="auto"/>
            <w:noWrap/>
            <w:vAlign w:val="bottom"/>
            <w:hideMark/>
          </w:tcPr>
          <w:p w14:paraId="564D16C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nil"/>
              <w:right w:val="nil"/>
            </w:tcBorders>
            <w:shd w:val="clear" w:color="auto" w:fill="auto"/>
            <w:noWrap/>
            <w:vAlign w:val="bottom"/>
            <w:hideMark/>
          </w:tcPr>
          <w:p w14:paraId="666EFAA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nil"/>
              <w:right w:val="single" w:sz="4" w:space="0" w:color="auto"/>
            </w:tcBorders>
            <w:shd w:val="clear" w:color="auto" w:fill="auto"/>
            <w:noWrap/>
            <w:vAlign w:val="bottom"/>
            <w:hideMark/>
          </w:tcPr>
          <w:p w14:paraId="4A929AE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0106D809"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39266363" w14:textId="77777777" w:rsidR="004F1CEA" w:rsidRPr="004F1CEA" w:rsidRDefault="004F1CEA" w:rsidP="004F1CEA">
            <w:pPr>
              <w:spacing w:after="0" w:line="240" w:lineRule="auto"/>
              <w:rPr>
                <w:rFonts w:eastAsia="Times New Roman" w:cs="Times New Roman"/>
                <w:i/>
                <w:iCs/>
                <w:color w:val="000000"/>
              </w:rPr>
            </w:pPr>
            <w:r w:rsidRPr="004F1CEA">
              <w:rPr>
                <w:rFonts w:eastAsia="Times New Roman" w:cs="Times New Roman"/>
                <w:i/>
                <w:iCs/>
                <w:color w:val="000000"/>
              </w:rPr>
              <w:t>Mono County CDPs</w:t>
            </w:r>
          </w:p>
        </w:tc>
        <w:tc>
          <w:tcPr>
            <w:tcW w:w="1400" w:type="dxa"/>
            <w:tcBorders>
              <w:top w:val="nil"/>
              <w:left w:val="single" w:sz="4" w:space="0" w:color="auto"/>
              <w:bottom w:val="single" w:sz="4" w:space="0" w:color="auto"/>
              <w:right w:val="nil"/>
            </w:tcBorders>
            <w:shd w:val="clear" w:color="auto" w:fill="auto"/>
            <w:noWrap/>
            <w:vAlign w:val="bottom"/>
            <w:hideMark/>
          </w:tcPr>
          <w:p w14:paraId="10BF986C"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2147175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14:paraId="3F572F9C"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ECA46B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0B9BCD53"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7E9A7BAD"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Crowley Lake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78794B6"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875</w:t>
            </w:r>
          </w:p>
        </w:tc>
        <w:tc>
          <w:tcPr>
            <w:tcW w:w="960" w:type="dxa"/>
            <w:tcBorders>
              <w:top w:val="nil"/>
              <w:left w:val="nil"/>
              <w:bottom w:val="single" w:sz="4" w:space="0" w:color="auto"/>
              <w:right w:val="single" w:sz="4" w:space="0" w:color="auto"/>
            </w:tcBorders>
            <w:shd w:val="clear" w:color="auto" w:fill="auto"/>
            <w:noWrap/>
            <w:vAlign w:val="bottom"/>
            <w:hideMark/>
          </w:tcPr>
          <w:p w14:paraId="7760C8AE"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6.2%</w:t>
            </w:r>
          </w:p>
        </w:tc>
        <w:tc>
          <w:tcPr>
            <w:tcW w:w="1100" w:type="dxa"/>
            <w:tcBorders>
              <w:top w:val="nil"/>
              <w:left w:val="nil"/>
              <w:bottom w:val="single" w:sz="4" w:space="0" w:color="auto"/>
              <w:right w:val="single" w:sz="4" w:space="0" w:color="auto"/>
            </w:tcBorders>
            <w:shd w:val="clear" w:color="auto" w:fill="auto"/>
            <w:noWrap/>
            <w:vAlign w:val="bottom"/>
            <w:hideMark/>
          </w:tcPr>
          <w:p w14:paraId="56FFAEC0"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14.7%</w:t>
            </w:r>
          </w:p>
        </w:tc>
        <w:tc>
          <w:tcPr>
            <w:tcW w:w="960" w:type="dxa"/>
            <w:tcBorders>
              <w:top w:val="nil"/>
              <w:left w:val="nil"/>
              <w:bottom w:val="single" w:sz="4" w:space="0" w:color="auto"/>
              <w:right w:val="single" w:sz="4" w:space="0" w:color="auto"/>
            </w:tcBorders>
            <w:shd w:val="clear" w:color="auto" w:fill="auto"/>
            <w:noWrap/>
            <w:vAlign w:val="bottom"/>
            <w:hideMark/>
          </w:tcPr>
          <w:p w14:paraId="29DFD930"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16.4%</w:t>
            </w:r>
          </w:p>
        </w:tc>
      </w:tr>
      <w:tr w:rsidR="004F1CEA" w:rsidRPr="004F1CEA" w14:paraId="69A6B819"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7320962E"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Walker</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42E6948"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721</w:t>
            </w:r>
          </w:p>
        </w:tc>
        <w:tc>
          <w:tcPr>
            <w:tcW w:w="960" w:type="dxa"/>
            <w:tcBorders>
              <w:top w:val="nil"/>
              <w:left w:val="nil"/>
              <w:bottom w:val="single" w:sz="4" w:space="0" w:color="auto"/>
              <w:right w:val="single" w:sz="4" w:space="0" w:color="auto"/>
            </w:tcBorders>
            <w:shd w:val="clear" w:color="auto" w:fill="auto"/>
            <w:noWrap/>
            <w:vAlign w:val="bottom"/>
            <w:hideMark/>
          </w:tcPr>
          <w:p w14:paraId="4389D1B0"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5.1%</w:t>
            </w:r>
          </w:p>
        </w:tc>
        <w:tc>
          <w:tcPr>
            <w:tcW w:w="1100" w:type="dxa"/>
            <w:tcBorders>
              <w:top w:val="nil"/>
              <w:left w:val="nil"/>
              <w:bottom w:val="single" w:sz="4" w:space="0" w:color="auto"/>
              <w:right w:val="single" w:sz="4" w:space="0" w:color="auto"/>
            </w:tcBorders>
            <w:shd w:val="clear" w:color="auto" w:fill="auto"/>
            <w:noWrap/>
            <w:vAlign w:val="bottom"/>
            <w:hideMark/>
          </w:tcPr>
          <w:p w14:paraId="193E214F"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14:paraId="7F909B67"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13.5%</w:t>
            </w:r>
          </w:p>
        </w:tc>
      </w:tr>
      <w:tr w:rsidR="004F1CEA" w:rsidRPr="004F1CEA" w14:paraId="608A8855"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3BF196AF"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Chalfant</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E2E9E3A"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651</w:t>
            </w:r>
          </w:p>
        </w:tc>
        <w:tc>
          <w:tcPr>
            <w:tcW w:w="960" w:type="dxa"/>
            <w:tcBorders>
              <w:top w:val="nil"/>
              <w:left w:val="nil"/>
              <w:bottom w:val="single" w:sz="4" w:space="0" w:color="auto"/>
              <w:right w:val="single" w:sz="4" w:space="0" w:color="auto"/>
            </w:tcBorders>
            <w:shd w:val="clear" w:color="auto" w:fill="auto"/>
            <w:noWrap/>
            <w:vAlign w:val="bottom"/>
            <w:hideMark/>
          </w:tcPr>
          <w:p w14:paraId="1D78EB11"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4.6%</w:t>
            </w:r>
          </w:p>
        </w:tc>
        <w:tc>
          <w:tcPr>
            <w:tcW w:w="1100" w:type="dxa"/>
            <w:tcBorders>
              <w:top w:val="nil"/>
              <w:left w:val="nil"/>
              <w:bottom w:val="single" w:sz="4" w:space="0" w:color="auto"/>
              <w:right w:val="single" w:sz="4" w:space="0" w:color="auto"/>
            </w:tcBorders>
            <w:shd w:val="clear" w:color="auto" w:fill="auto"/>
            <w:noWrap/>
            <w:vAlign w:val="bottom"/>
            <w:hideMark/>
          </w:tcPr>
          <w:p w14:paraId="42DEB667"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10.9%</w:t>
            </w:r>
          </w:p>
        </w:tc>
        <w:tc>
          <w:tcPr>
            <w:tcW w:w="960" w:type="dxa"/>
            <w:tcBorders>
              <w:top w:val="nil"/>
              <w:left w:val="nil"/>
              <w:bottom w:val="single" w:sz="4" w:space="0" w:color="auto"/>
              <w:right w:val="single" w:sz="4" w:space="0" w:color="auto"/>
            </w:tcBorders>
            <w:shd w:val="clear" w:color="auto" w:fill="auto"/>
            <w:noWrap/>
            <w:vAlign w:val="bottom"/>
            <w:hideMark/>
          </w:tcPr>
          <w:p w14:paraId="75087557"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12.2%</w:t>
            </w:r>
          </w:p>
        </w:tc>
      </w:tr>
      <w:tr w:rsidR="004F1CEA" w:rsidRPr="004F1CEA" w14:paraId="6ECD92AC"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3D9D1D4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June Lake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F7975C0"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629</w:t>
            </w:r>
          </w:p>
        </w:tc>
        <w:tc>
          <w:tcPr>
            <w:tcW w:w="960" w:type="dxa"/>
            <w:tcBorders>
              <w:top w:val="nil"/>
              <w:left w:val="nil"/>
              <w:bottom w:val="single" w:sz="4" w:space="0" w:color="auto"/>
              <w:right w:val="single" w:sz="4" w:space="0" w:color="auto"/>
            </w:tcBorders>
            <w:shd w:val="clear" w:color="auto" w:fill="auto"/>
            <w:noWrap/>
            <w:vAlign w:val="bottom"/>
            <w:hideMark/>
          </w:tcPr>
          <w:p w14:paraId="01A726BD"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4.4%</w:t>
            </w:r>
          </w:p>
        </w:tc>
        <w:tc>
          <w:tcPr>
            <w:tcW w:w="1100" w:type="dxa"/>
            <w:tcBorders>
              <w:top w:val="nil"/>
              <w:left w:val="nil"/>
              <w:bottom w:val="single" w:sz="4" w:space="0" w:color="auto"/>
              <w:right w:val="single" w:sz="4" w:space="0" w:color="auto"/>
            </w:tcBorders>
            <w:shd w:val="clear" w:color="auto" w:fill="auto"/>
            <w:noWrap/>
            <w:vAlign w:val="bottom"/>
            <w:hideMark/>
          </w:tcPr>
          <w:p w14:paraId="0485C7ED"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14:paraId="1B538978"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11.8%</w:t>
            </w:r>
          </w:p>
        </w:tc>
      </w:tr>
      <w:tr w:rsidR="004F1CEA" w:rsidRPr="004F1CEA" w14:paraId="5CD56799"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5F80B56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Bridgeport</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7BB00DC"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575</w:t>
            </w:r>
          </w:p>
        </w:tc>
        <w:tc>
          <w:tcPr>
            <w:tcW w:w="960" w:type="dxa"/>
            <w:tcBorders>
              <w:top w:val="nil"/>
              <w:left w:val="nil"/>
              <w:bottom w:val="single" w:sz="4" w:space="0" w:color="auto"/>
              <w:right w:val="single" w:sz="4" w:space="0" w:color="auto"/>
            </w:tcBorders>
            <w:shd w:val="clear" w:color="auto" w:fill="auto"/>
            <w:noWrap/>
            <w:vAlign w:val="bottom"/>
            <w:hideMark/>
          </w:tcPr>
          <w:p w14:paraId="0C1CE1B9"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4.0%</w:t>
            </w:r>
          </w:p>
        </w:tc>
        <w:tc>
          <w:tcPr>
            <w:tcW w:w="1100" w:type="dxa"/>
            <w:tcBorders>
              <w:top w:val="nil"/>
              <w:left w:val="nil"/>
              <w:bottom w:val="single" w:sz="4" w:space="0" w:color="auto"/>
              <w:right w:val="single" w:sz="4" w:space="0" w:color="auto"/>
            </w:tcBorders>
            <w:shd w:val="clear" w:color="auto" w:fill="auto"/>
            <w:noWrap/>
            <w:vAlign w:val="bottom"/>
            <w:hideMark/>
          </w:tcPr>
          <w:p w14:paraId="4B0C3BF7"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14:paraId="2F6550B1"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10.8%</w:t>
            </w:r>
          </w:p>
        </w:tc>
      </w:tr>
      <w:tr w:rsidR="004F1CEA" w:rsidRPr="004F1CEA" w14:paraId="09AFA697"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01F4357F"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Coleville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0B5059B"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495</w:t>
            </w:r>
          </w:p>
        </w:tc>
        <w:tc>
          <w:tcPr>
            <w:tcW w:w="960" w:type="dxa"/>
            <w:tcBorders>
              <w:top w:val="nil"/>
              <w:left w:val="nil"/>
              <w:bottom w:val="single" w:sz="4" w:space="0" w:color="auto"/>
              <w:right w:val="single" w:sz="4" w:space="0" w:color="auto"/>
            </w:tcBorders>
            <w:shd w:val="clear" w:color="auto" w:fill="auto"/>
            <w:noWrap/>
            <w:vAlign w:val="bottom"/>
            <w:hideMark/>
          </w:tcPr>
          <w:p w14:paraId="0BA4D532"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3.5%</w:t>
            </w:r>
          </w:p>
        </w:tc>
        <w:tc>
          <w:tcPr>
            <w:tcW w:w="1100" w:type="dxa"/>
            <w:tcBorders>
              <w:top w:val="nil"/>
              <w:left w:val="nil"/>
              <w:bottom w:val="single" w:sz="4" w:space="0" w:color="auto"/>
              <w:right w:val="single" w:sz="4" w:space="0" w:color="auto"/>
            </w:tcBorders>
            <w:shd w:val="clear" w:color="auto" w:fill="auto"/>
            <w:noWrap/>
            <w:vAlign w:val="bottom"/>
            <w:hideMark/>
          </w:tcPr>
          <w:p w14:paraId="4D938707"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8.3%</w:t>
            </w:r>
          </w:p>
        </w:tc>
        <w:tc>
          <w:tcPr>
            <w:tcW w:w="960" w:type="dxa"/>
            <w:tcBorders>
              <w:top w:val="nil"/>
              <w:left w:val="nil"/>
              <w:bottom w:val="single" w:sz="4" w:space="0" w:color="auto"/>
              <w:right w:val="single" w:sz="4" w:space="0" w:color="auto"/>
            </w:tcBorders>
            <w:shd w:val="clear" w:color="auto" w:fill="auto"/>
            <w:noWrap/>
            <w:vAlign w:val="bottom"/>
            <w:hideMark/>
          </w:tcPr>
          <w:p w14:paraId="2FAFE34C"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9.3%</w:t>
            </w:r>
          </w:p>
        </w:tc>
      </w:tr>
      <w:tr w:rsidR="004F1CEA" w:rsidRPr="004F1CEA" w14:paraId="52593AE7"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3296A96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Benton</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8EC9C65"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280</w:t>
            </w:r>
          </w:p>
        </w:tc>
        <w:tc>
          <w:tcPr>
            <w:tcW w:w="960" w:type="dxa"/>
            <w:tcBorders>
              <w:top w:val="nil"/>
              <w:left w:val="nil"/>
              <w:bottom w:val="single" w:sz="4" w:space="0" w:color="auto"/>
              <w:right w:val="single" w:sz="4" w:space="0" w:color="auto"/>
            </w:tcBorders>
            <w:shd w:val="clear" w:color="auto" w:fill="auto"/>
            <w:noWrap/>
            <w:vAlign w:val="bottom"/>
            <w:hideMark/>
          </w:tcPr>
          <w:p w14:paraId="0838A457"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2.0%</w:t>
            </w:r>
          </w:p>
        </w:tc>
        <w:tc>
          <w:tcPr>
            <w:tcW w:w="1100" w:type="dxa"/>
            <w:tcBorders>
              <w:top w:val="nil"/>
              <w:left w:val="nil"/>
              <w:bottom w:val="single" w:sz="4" w:space="0" w:color="auto"/>
              <w:right w:val="single" w:sz="4" w:space="0" w:color="auto"/>
            </w:tcBorders>
            <w:shd w:val="clear" w:color="auto" w:fill="auto"/>
            <w:noWrap/>
            <w:vAlign w:val="bottom"/>
            <w:hideMark/>
          </w:tcPr>
          <w:p w14:paraId="00054253"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14:paraId="64CE1DC7"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5.3%</w:t>
            </w:r>
          </w:p>
        </w:tc>
      </w:tr>
      <w:tr w:rsidR="004F1CEA" w:rsidRPr="004F1CEA" w14:paraId="3B82FE27"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44358EED"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Lee Vining</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5B90039"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222</w:t>
            </w:r>
          </w:p>
        </w:tc>
        <w:tc>
          <w:tcPr>
            <w:tcW w:w="960" w:type="dxa"/>
            <w:tcBorders>
              <w:top w:val="nil"/>
              <w:left w:val="nil"/>
              <w:bottom w:val="single" w:sz="4" w:space="0" w:color="auto"/>
              <w:right w:val="single" w:sz="4" w:space="0" w:color="auto"/>
            </w:tcBorders>
            <w:shd w:val="clear" w:color="auto" w:fill="auto"/>
            <w:noWrap/>
            <w:vAlign w:val="bottom"/>
            <w:hideMark/>
          </w:tcPr>
          <w:p w14:paraId="354A7AA7"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1.6%</w:t>
            </w:r>
          </w:p>
        </w:tc>
        <w:tc>
          <w:tcPr>
            <w:tcW w:w="1100" w:type="dxa"/>
            <w:tcBorders>
              <w:top w:val="nil"/>
              <w:left w:val="nil"/>
              <w:bottom w:val="single" w:sz="4" w:space="0" w:color="auto"/>
              <w:right w:val="single" w:sz="4" w:space="0" w:color="auto"/>
            </w:tcBorders>
            <w:shd w:val="clear" w:color="auto" w:fill="auto"/>
            <w:noWrap/>
            <w:vAlign w:val="bottom"/>
            <w:hideMark/>
          </w:tcPr>
          <w:p w14:paraId="05501A62"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14:paraId="6D10E08A"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4.2%</w:t>
            </w:r>
          </w:p>
        </w:tc>
      </w:tr>
      <w:tr w:rsidR="004F1CEA" w:rsidRPr="004F1CEA" w14:paraId="60D77030"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2B5CE6ED"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Swall Meadows</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613D3E3"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220</w:t>
            </w:r>
          </w:p>
        </w:tc>
        <w:tc>
          <w:tcPr>
            <w:tcW w:w="960" w:type="dxa"/>
            <w:tcBorders>
              <w:top w:val="nil"/>
              <w:left w:val="nil"/>
              <w:bottom w:val="single" w:sz="4" w:space="0" w:color="auto"/>
              <w:right w:val="single" w:sz="4" w:space="0" w:color="auto"/>
            </w:tcBorders>
            <w:shd w:val="clear" w:color="auto" w:fill="auto"/>
            <w:noWrap/>
            <w:vAlign w:val="bottom"/>
            <w:hideMark/>
          </w:tcPr>
          <w:p w14:paraId="61B4715F"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1.5%</w:t>
            </w:r>
          </w:p>
        </w:tc>
        <w:tc>
          <w:tcPr>
            <w:tcW w:w="1100" w:type="dxa"/>
            <w:tcBorders>
              <w:top w:val="nil"/>
              <w:left w:val="nil"/>
              <w:bottom w:val="single" w:sz="4" w:space="0" w:color="auto"/>
              <w:right w:val="single" w:sz="4" w:space="0" w:color="auto"/>
            </w:tcBorders>
            <w:shd w:val="clear" w:color="auto" w:fill="auto"/>
            <w:noWrap/>
            <w:vAlign w:val="bottom"/>
            <w:hideMark/>
          </w:tcPr>
          <w:p w14:paraId="626E3568"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14:paraId="3903C633"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4.1%</w:t>
            </w:r>
          </w:p>
        </w:tc>
      </w:tr>
      <w:tr w:rsidR="004F1CEA" w:rsidRPr="004F1CEA" w14:paraId="62E1454D"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43F7BD3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Sunny Slopes</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223211B"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182</w:t>
            </w:r>
          </w:p>
        </w:tc>
        <w:tc>
          <w:tcPr>
            <w:tcW w:w="960" w:type="dxa"/>
            <w:tcBorders>
              <w:top w:val="nil"/>
              <w:left w:val="nil"/>
              <w:bottom w:val="single" w:sz="4" w:space="0" w:color="auto"/>
              <w:right w:val="single" w:sz="4" w:space="0" w:color="auto"/>
            </w:tcBorders>
            <w:shd w:val="clear" w:color="auto" w:fill="auto"/>
            <w:noWrap/>
            <w:vAlign w:val="bottom"/>
            <w:hideMark/>
          </w:tcPr>
          <w:p w14:paraId="68B9C3C6"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1.3%</w:t>
            </w:r>
          </w:p>
        </w:tc>
        <w:tc>
          <w:tcPr>
            <w:tcW w:w="1100" w:type="dxa"/>
            <w:tcBorders>
              <w:top w:val="nil"/>
              <w:left w:val="nil"/>
              <w:bottom w:val="single" w:sz="4" w:space="0" w:color="auto"/>
              <w:right w:val="single" w:sz="4" w:space="0" w:color="auto"/>
            </w:tcBorders>
            <w:shd w:val="clear" w:color="auto" w:fill="auto"/>
            <w:noWrap/>
            <w:vAlign w:val="bottom"/>
            <w:hideMark/>
          </w:tcPr>
          <w:p w14:paraId="39988142"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2AA3A442"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3.4%</w:t>
            </w:r>
          </w:p>
        </w:tc>
      </w:tr>
      <w:tr w:rsidR="004F1CEA" w:rsidRPr="004F1CEA" w14:paraId="33649491"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772C863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Mono City</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225033C"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172</w:t>
            </w:r>
          </w:p>
        </w:tc>
        <w:tc>
          <w:tcPr>
            <w:tcW w:w="960" w:type="dxa"/>
            <w:tcBorders>
              <w:top w:val="nil"/>
              <w:left w:val="nil"/>
              <w:bottom w:val="single" w:sz="4" w:space="0" w:color="auto"/>
              <w:right w:val="single" w:sz="4" w:space="0" w:color="auto"/>
            </w:tcBorders>
            <w:shd w:val="clear" w:color="auto" w:fill="auto"/>
            <w:noWrap/>
            <w:vAlign w:val="bottom"/>
            <w:hideMark/>
          </w:tcPr>
          <w:p w14:paraId="60F9CAF8"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1.2%</w:t>
            </w:r>
          </w:p>
        </w:tc>
        <w:tc>
          <w:tcPr>
            <w:tcW w:w="1100" w:type="dxa"/>
            <w:tcBorders>
              <w:top w:val="nil"/>
              <w:left w:val="nil"/>
              <w:bottom w:val="single" w:sz="4" w:space="0" w:color="auto"/>
              <w:right w:val="single" w:sz="4" w:space="0" w:color="auto"/>
            </w:tcBorders>
            <w:shd w:val="clear" w:color="auto" w:fill="auto"/>
            <w:noWrap/>
            <w:vAlign w:val="bottom"/>
            <w:hideMark/>
          </w:tcPr>
          <w:p w14:paraId="69EC7272"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14:paraId="2EEF74E7"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3.2%</w:t>
            </w:r>
          </w:p>
        </w:tc>
      </w:tr>
      <w:tr w:rsidR="004F1CEA" w:rsidRPr="004F1CEA" w14:paraId="4B35CF5D"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34A43F9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Paradise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C275CB1"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153</w:t>
            </w:r>
          </w:p>
        </w:tc>
        <w:tc>
          <w:tcPr>
            <w:tcW w:w="960" w:type="dxa"/>
            <w:tcBorders>
              <w:top w:val="nil"/>
              <w:left w:val="nil"/>
              <w:bottom w:val="single" w:sz="4" w:space="0" w:color="auto"/>
              <w:right w:val="single" w:sz="4" w:space="0" w:color="auto"/>
            </w:tcBorders>
            <w:shd w:val="clear" w:color="auto" w:fill="auto"/>
            <w:noWrap/>
            <w:vAlign w:val="bottom"/>
            <w:hideMark/>
          </w:tcPr>
          <w:p w14:paraId="2D1BC2ED"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1.1%</w:t>
            </w:r>
          </w:p>
        </w:tc>
        <w:tc>
          <w:tcPr>
            <w:tcW w:w="1100" w:type="dxa"/>
            <w:tcBorders>
              <w:top w:val="nil"/>
              <w:left w:val="nil"/>
              <w:bottom w:val="single" w:sz="4" w:space="0" w:color="auto"/>
              <w:right w:val="single" w:sz="4" w:space="0" w:color="auto"/>
            </w:tcBorders>
            <w:shd w:val="clear" w:color="auto" w:fill="auto"/>
            <w:noWrap/>
            <w:vAlign w:val="bottom"/>
            <w:hideMark/>
          </w:tcPr>
          <w:p w14:paraId="1D11C2A9"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14:paraId="4D658896"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2.9%</w:t>
            </w:r>
          </w:p>
        </w:tc>
      </w:tr>
      <w:tr w:rsidR="004F1CEA" w:rsidRPr="004F1CEA" w14:paraId="5FD723C7"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6A60F9B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Apsen Springs</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5583CD8"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14:paraId="4522E4C3"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0.5%</w:t>
            </w:r>
          </w:p>
        </w:tc>
        <w:tc>
          <w:tcPr>
            <w:tcW w:w="1100" w:type="dxa"/>
            <w:tcBorders>
              <w:top w:val="nil"/>
              <w:left w:val="nil"/>
              <w:bottom w:val="single" w:sz="4" w:space="0" w:color="auto"/>
              <w:right w:val="single" w:sz="4" w:space="0" w:color="auto"/>
            </w:tcBorders>
            <w:shd w:val="clear" w:color="auto" w:fill="auto"/>
            <w:noWrap/>
            <w:vAlign w:val="bottom"/>
            <w:hideMark/>
          </w:tcPr>
          <w:p w14:paraId="66AEF2D1"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60A61DEE"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1.2%</w:t>
            </w:r>
          </w:p>
        </w:tc>
      </w:tr>
      <w:tr w:rsidR="004F1CEA" w:rsidRPr="004F1CEA" w14:paraId="47668B66" w14:textId="77777777" w:rsidTr="004F1CEA">
        <w:trPr>
          <w:trHeight w:val="375"/>
        </w:trPr>
        <w:tc>
          <w:tcPr>
            <w:tcW w:w="2140" w:type="dxa"/>
            <w:tcBorders>
              <w:top w:val="nil"/>
              <w:left w:val="single" w:sz="4" w:space="0" w:color="auto"/>
              <w:bottom w:val="single" w:sz="4" w:space="0" w:color="auto"/>
              <w:right w:val="nil"/>
            </w:tcBorders>
            <w:shd w:val="clear" w:color="auto" w:fill="auto"/>
            <w:noWrap/>
            <w:vAlign w:val="bottom"/>
            <w:hideMark/>
          </w:tcPr>
          <w:p w14:paraId="5B846DD8"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Topaz</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276EE89"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14:paraId="27A9A2F0"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0.4%</w:t>
            </w:r>
          </w:p>
        </w:tc>
        <w:tc>
          <w:tcPr>
            <w:tcW w:w="1100" w:type="dxa"/>
            <w:tcBorders>
              <w:top w:val="nil"/>
              <w:left w:val="nil"/>
              <w:bottom w:val="single" w:sz="4" w:space="0" w:color="auto"/>
              <w:right w:val="single" w:sz="4" w:space="0" w:color="auto"/>
            </w:tcBorders>
            <w:shd w:val="clear" w:color="auto" w:fill="auto"/>
            <w:noWrap/>
            <w:vAlign w:val="bottom"/>
            <w:hideMark/>
          </w:tcPr>
          <w:p w14:paraId="31DC8843"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0.8%</w:t>
            </w:r>
          </w:p>
        </w:tc>
        <w:tc>
          <w:tcPr>
            <w:tcW w:w="960" w:type="dxa"/>
            <w:tcBorders>
              <w:top w:val="nil"/>
              <w:left w:val="nil"/>
              <w:bottom w:val="single" w:sz="4" w:space="0" w:color="auto"/>
              <w:right w:val="single" w:sz="4" w:space="0" w:color="auto"/>
            </w:tcBorders>
            <w:shd w:val="clear" w:color="auto" w:fill="auto"/>
            <w:noWrap/>
            <w:vAlign w:val="bottom"/>
            <w:hideMark/>
          </w:tcPr>
          <w:p w14:paraId="74645039"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0.9%</w:t>
            </w:r>
          </w:p>
        </w:tc>
      </w:tr>
      <w:tr w:rsidR="004F1CEA" w:rsidRPr="004F1CEA" w14:paraId="23FB1908"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43FEA91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McGee Creek</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BA99373"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14:paraId="538A702D"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0.3%</w:t>
            </w:r>
          </w:p>
        </w:tc>
        <w:tc>
          <w:tcPr>
            <w:tcW w:w="1100" w:type="dxa"/>
            <w:tcBorders>
              <w:top w:val="nil"/>
              <w:left w:val="nil"/>
              <w:bottom w:val="single" w:sz="4" w:space="0" w:color="auto"/>
              <w:right w:val="single" w:sz="4" w:space="0" w:color="auto"/>
            </w:tcBorders>
            <w:shd w:val="clear" w:color="auto" w:fill="auto"/>
            <w:noWrap/>
            <w:vAlign w:val="bottom"/>
            <w:hideMark/>
          </w:tcPr>
          <w:p w14:paraId="00FE608B"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0.7%</w:t>
            </w:r>
          </w:p>
        </w:tc>
        <w:tc>
          <w:tcPr>
            <w:tcW w:w="960" w:type="dxa"/>
            <w:tcBorders>
              <w:top w:val="nil"/>
              <w:left w:val="nil"/>
              <w:bottom w:val="single" w:sz="4" w:space="0" w:color="auto"/>
              <w:right w:val="single" w:sz="4" w:space="0" w:color="auto"/>
            </w:tcBorders>
            <w:shd w:val="clear" w:color="auto" w:fill="auto"/>
            <w:noWrap/>
            <w:vAlign w:val="bottom"/>
            <w:hideMark/>
          </w:tcPr>
          <w:p w14:paraId="39CA6114"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0.8%</w:t>
            </w:r>
          </w:p>
        </w:tc>
      </w:tr>
      <w:tr w:rsidR="004F1CEA" w:rsidRPr="004F1CEA" w14:paraId="39E8B3CC"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72FC01E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400" w:type="dxa"/>
            <w:tcBorders>
              <w:top w:val="nil"/>
              <w:left w:val="single" w:sz="4" w:space="0" w:color="auto"/>
              <w:bottom w:val="single" w:sz="4" w:space="0" w:color="auto"/>
              <w:right w:val="nil"/>
            </w:tcBorders>
            <w:shd w:val="clear" w:color="auto" w:fill="auto"/>
            <w:noWrap/>
            <w:vAlign w:val="bottom"/>
            <w:hideMark/>
          </w:tcPr>
          <w:p w14:paraId="48E1C50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1850436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14:paraId="5A35D60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E6092B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1B247D98"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2F4659A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of CDPs</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8E911A9"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5,331</w:t>
            </w:r>
          </w:p>
        </w:tc>
        <w:tc>
          <w:tcPr>
            <w:tcW w:w="960" w:type="dxa"/>
            <w:tcBorders>
              <w:top w:val="nil"/>
              <w:left w:val="nil"/>
              <w:bottom w:val="single" w:sz="4" w:space="0" w:color="auto"/>
              <w:right w:val="single" w:sz="4" w:space="0" w:color="auto"/>
            </w:tcBorders>
            <w:shd w:val="clear" w:color="auto" w:fill="auto"/>
            <w:noWrap/>
            <w:vAlign w:val="bottom"/>
            <w:hideMark/>
          </w:tcPr>
          <w:p w14:paraId="6057659F"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37.5%</w:t>
            </w:r>
          </w:p>
        </w:tc>
        <w:tc>
          <w:tcPr>
            <w:tcW w:w="1100" w:type="dxa"/>
            <w:tcBorders>
              <w:top w:val="nil"/>
              <w:left w:val="nil"/>
              <w:bottom w:val="single" w:sz="4" w:space="0" w:color="auto"/>
              <w:right w:val="single" w:sz="4" w:space="0" w:color="auto"/>
            </w:tcBorders>
            <w:shd w:val="clear" w:color="auto" w:fill="auto"/>
            <w:noWrap/>
            <w:vAlign w:val="bottom"/>
            <w:hideMark/>
          </w:tcPr>
          <w:p w14:paraId="13E26DD0"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89.3%</w:t>
            </w:r>
          </w:p>
        </w:tc>
        <w:tc>
          <w:tcPr>
            <w:tcW w:w="960" w:type="dxa"/>
            <w:tcBorders>
              <w:top w:val="nil"/>
              <w:left w:val="nil"/>
              <w:bottom w:val="single" w:sz="4" w:space="0" w:color="auto"/>
              <w:right w:val="single" w:sz="4" w:space="0" w:color="auto"/>
            </w:tcBorders>
            <w:shd w:val="clear" w:color="auto" w:fill="auto"/>
            <w:noWrap/>
            <w:vAlign w:val="bottom"/>
            <w:hideMark/>
          </w:tcPr>
          <w:p w14:paraId="709B915D"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100.0%</w:t>
            </w:r>
          </w:p>
        </w:tc>
      </w:tr>
      <w:tr w:rsidR="004F1CEA" w:rsidRPr="004F1CEA" w14:paraId="4A6E6C3C"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61F2FDC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400" w:type="dxa"/>
            <w:tcBorders>
              <w:top w:val="nil"/>
              <w:left w:val="single" w:sz="4" w:space="0" w:color="auto"/>
              <w:bottom w:val="single" w:sz="4" w:space="0" w:color="auto"/>
              <w:right w:val="nil"/>
            </w:tcBorders>
            <w:shd w:val="clear" w:color="auto" w:fill="auto"/>
            <w:noWrap/>
            <w:vAlign w:val="bottom"/>
            <w:hideMark/>
          </w:tcPr>
          <w:p w14:paraId="41FE485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5329AF9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14:paraId="0141C4A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321956E"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4054592C"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093B25D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CDPs + Town</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D27A676"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13,565</w:t>
            </w:r>
          </w:p>
        </w:tc>
        <w:tc>
          <w:tcPr>
            <w:tcW w:w="960" w:type="dxa"/>
            <w:tcBorders>
              <w:top w:val="nil"/>
              <w:left w:val="nil"/>
              <w:bottom w:val="single" w:sz="4" w:space="0" w:color="auto"/>
              <w:right w:val="single" w:sz="4" w:space="0" w:color="auto"/>
            </w:tcBorders>
            <w:shd w:val="clear" w:color="auto" w:fill="auto"/>
            <w:noWrap/>
            <w:vAlign w:val="bottom"/>
            <w:hideMark/>
          </w:tcPr>
          <w:p w14:paraId="3529D249"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95.5%</w:t>
            </w:r>
          </w:p>
        </w:tc>
        <w:tc>
          <w:tcPr>
            <w:tcW w:w="1100" w:type="dxa"/>
            <w:tcBorders>
              <w:top w:val="nil"/>
              <w:left w:val="nil"/>
              <w:bottom w:val="single" w:sz="4" w:space="0" w:color="auto"/>
              <w:right w:val="single" w:sz="4" w:space="0" w:color="auto"/>
            </w:tcBorders>
            <w:shd w:val="clear" w:color="auto" w:fill="auto"/>
            <w:noWrap/>
            <w:vAlign w:val="bottom"/>
            <w:hideMark/>
          </w:tcPr>
          <w:p w14:paraId="2075170F"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7025A7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4CA54B81"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7EEDC8B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400" w:type="dxa"/>
            <w:tcBorders>
              <w:top w:val="nil"/>
              <w:left w:val="single" w:sz="4" w:space="0" w:color="auto"/>
              <w:bottom w:val="single" w:sz="4" w:space="0" w:color="auto"/>
              <w:right w:val="nil"/>
            </w:tcBorders>
            <w:shd w:val="clear" w:color="auto" w:fill="auto"/>
            <w:noWrap/>
            <w:vAlign w:val="bottom"/>
            <w:hideMark/>
          </w:tcPr>
          <w:p w14:paraId="03393B18"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459CC6E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1100" w:type="dxa"/>
            <w:tcBorders>
              <w:top w:val="nil"/>
              <w:left w:val="nil"/>
              <w:bottom w:val="single" w:sz="4" w:space="0" w:color="auto"/>
              <w:right w:val="nil"/>
            </w:tcBorders>
            <w:shd w:val="clear" w:color="auto" w:fill="auto"/>
            <w:noWrap/>
            <w:vAlign w:val="bottom"/>
            <w:hideMark/>
          </w:tcPr>
          <w:p w14:paraId="2A86AAA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B4E0F1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r w:rsidR="004F1CEA" w:rsidRPr="004F1CEA" w14:paraId="2E7AB5DA" w14:textId="77777777" w:rsidTr="004F1CEA">
        <w:trPr>
          <w:trHeight w:val="300"/>
        </w:trPr>
        <w:tc>
          <w:tcPr>
            <w:tcW w:w="2140" w:type="dxa"/>
            <w:tcBorders>
              <w:top w:val="nil"/>
              <w:left w:val="single" w:sz="4" w:space="0" w:color="auto"/>
              <w:bottom w:val="single" w:sz="4" w:space="0" w:color="auto"/>
              <w:right w:val="nil"/>
            </w:tcBorders>
            <w:shd w:val="clear" w:color="auto" w:fill="auto"/>
            <w:noWrap/>
            <w:vAlign w:val="bottom"/>
            <w:hideMark/>
          </w:tcPr>
          <w:p w14:paraId="7C4E7A8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 - CDPs &amp; Town</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9BEEDF2"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637</w:t>
            </w:r>
          </w:p>
        </w:tc>
        <w:tc>
          <w:tcPr>
            <w:tcW w:w="960" w:type="dxa"/>
            <w:tcBorders>
              <w:top w:val="nil"/>
              <w:left w:val="nil"/>
              <w:bottom w:val="single" w:sz="4" w:space="0" w:color="auto"/>
              <w:right w:val="single" w:sz="4" w:space="0" w:color="auto"/>
            </w:tcBorders>
            <w:shd w:val="clear" w:color="auto" w:fill="auto"/>
            <w:noWrap/>
            <w:vAlign w:val="bottom"/>
            <w:hideMark/>
          </w:tcPr>
          <w:p w14:paraId="5CBB4E94"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4.5%</w:t>
            </w:r>
          </w:p>
        </w:tc>
        <w:tc>
          <w:tcPr>
            <w:tcW w:w="1100" w:type="dxa"/>
            <w:tcBorders>
              <w:top w:val="nil"/>
              <w:left w:val="nil"/>
              <w:bottom w:val="single" w:sz="4" w:space="0" w:color="auto"/>
              <w:right w:val="single" w:sz="4" w:space="0" w:color="auto"/>
            </w:tcBorders>
            <w:shd w:val="clear" w:color="auto" w:fill="auto"/>
            <w:noWrap/>
            <w:vAlign w:val="bottom"/>
            <w:hideMark/>
          </w:tcPr>
          <w:p w14:paraId="18C272AA" w14:textId="77777777" w:rsidR="004F1CEA" w:rsidRPr="004F1CEA" w:rsidRDefault="004F1CEA" w:rsidP="004F1CEA">
            <w:pPr>
              <w:spacing w:after="0" w:line="240" w:lineRule="auto"/>
              <w:jc w:val="right"/>
              <w:rPr>
                <w:rFonts w:eastAsia="Times New Roman" w:cs="Times New Roman"/>
                <w:color w:val="000000"/>
              </w:rPr>
            </w:pPr>
            <w:r w:rsidRPr="004F1CEA">
              <w:rPr>
                <w:rFonts w:eastAsia="Times New Roman" w:cs="Times New Roman"/>
                <w:color w:val="000000"/>
              </w:rPr>
              <w:t>10.7%</w:t>
            </w:r>
          </w:p>
        </w:tc>
        <w:tc>
          <w:tcPr>
            <w:tcW w:w="960" w:type="dxa"/>
            <w:tcBorders>
              <w:top w:val="nil"/>
              <w:left w:val="nil"/>
              <w:bottom w:val="single" w:sz="4" w:space="0" w:color="auto"/>
              <w:right w:val="single" w:sz="4" w:space="0" w:color="auto"/>
            </w:tcBorders>
            <w:shd w:val="clear" w:color="auto" w:fill="auto"/>
            <w:noWrap/>
            <w:vAlign w:val="bottom"/>
            <w:hideMark/>
          </w:tcPr>
          <w:p w14:paraId="76B590A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r>
    </w:tbl>
    <w:p w14:paraId="349F30C1" w14:textId="77777777" w:rsidR="004F1CEA" w:rsidRPr="004F1CEA" w:rsidRDefault="004F1CEA" w:rsidP="00682AA1">
      <w:pPr>
        <w:spacing w:line="280" w:lineRule="atLeast"/>
        <w:jc w:val="both"/>
        <w:rPr>
          <w:b/>
        </w:rPr>
      </w:pPr>
    </w:p>
    <w:p w14:paraId="5A1E3DAB" w14:textId="77777777" w:rsidR="004F1CEA" w:rsidRPr="004F1CEA" w:rsidRDefault="004F1CEA" w:rsidP="00682AA1">
      <w:pPr>
        <w:spacing w:line="280" w:lineRule="atLeast"/>
        <w:jc w:val="both"/>
        <w:rPr>
          <w:b/>
        </w:rPr>
      </w:pPr>
    </w:p>
    <w:p w14:paraId="5530B5FE" w14:textId="77777777" w:rsidR="004F1CEA" w:rsidRPr="004F1CEA" w:rsidRDefault="004F1CEA" w:rsidP="004F1CEA">
      <w:pPr>
        <w:pStyle w:val="ELEMENT"/>
        <w:spacing w:line="280" w:lineRule="atLeast"/>
        <w:rPr>
          <w:rFonts w:asciiTheme="minorHAnsi" w:hAnsiTheme="minorHAnsi"/>
          <w:sz w:val="22"/>
          <w:szCs w:val="22"/>
        </w:rPr>
      </w:pPr>
      <w:r w:rsidRPr="004F1CEA">
        <w:rPr>
          <w:rFonts w:asciiTheme="minorHAnsi" w:hAnsiTheme="minorHAnsi"/>
          <w:sz w:val="22"/>
          <w:szCs w:val="22"/>
        </w:rPr>
        <w:t>Table 2. Total Population Count by Race, CDP, Mono County 2010</w:t>
      </w:r>
    </w:p>
    <w:tbl>
      <w:tblPr>
        <w:tblW w:w="8760" w:type="dxa"/>
        <w:tblInd w:w="5" w:type="dxa"/>
        <w:tblLook w:val="04A0" w:firstRow="1" w:lastRow="0" w:firstColumn="1" w:lastColumn="0" w:noHBand="0" w:noVBand="1"/>
      </w:tblPr>
      <w:tblGrid>
        <w:gridCol w:w="2440"/>
        <w:gridCol w:w="960"/>
        <w:gridCol w:w="800"/>
        <w:gridCol w:w="760"/>
        <w:gridCol w:w="700"/>
        <w:gridCol w:w="660"/>
        <w:gridCol w:w="620"/>
        <w:gridCol w:w="520"/>
        <w:gridCol w:w="660"/>
        <w:gridCol w:w="640"/>
      </w:tblGrid>
      <w:tr w:rsidR="004F1CEA" w:rsidRPr="004F1CEA" w14:paraId="62F0F996" w14:textId="77777777" w:rsidTr="004F1CEA">
        <w:trPr>
          <w:trHeight w:val="2130"/>
        </w:trPr>
        <w:tc>
          <w:tcPr>
            <w:tcW w:w="2440" w:type="dxa"/>
            <w:tcBorders>
              <w:top w:val="nil"/>
              <w:left w:val="nil"/>
              <w:bottom w:val="single" w:sz="4" w:space="0" w:color="auto"/>
              <w:right w:val="nil"/>
            </w:tcBorders>
            <w:shd w:val="clear" w:color="auto" w:fill="auto"/>
            <w:noWrap/>
            <w:vAlign w:val="bottom"/>
            <w:hideMark/>
          </w:tcPr>
          <w:p w14:paraId="48C2A831" w14:textId="77777777" w:rsidR="004F1CEA" w:rsidRPr="004F1CEA" w:rsidRDefault="004F1CEA" w:rsidP="004F1CEA">
            <w:pPr>
              <w:spacing w:after="0" w:line="240" w:lineRule="auto"/>
              <w:rPr>
                <w:rFonts w:eastAsia="Times New Roman" w:cs="Times New Roman"/>
                <w:b/>
                <w:bCs/>
                <w:color w:val="000000"/>
              </w:rPr>
            </w:pPr>
            <w:r w:rsidRPr="004F1CEA">
              <w:rPr>
                <w:rFonts w:eastAsia="Times New Roman" w:cs="Times New Roman"/>
                <w:b/>
                <w:bCs/>
                <w:color w:val="000000"/>
              </w:rPr>
              <w:t> </w:t>
            </w:r>
          </w:p>
        </w:tc>
        <w:tc>
          <w:tcPr>
            <w:tcW w:w="960" w:type="dxa"/>
            <w:tcBorders>
              <w:top w:val="nil"/>
              <w:left w:val="nil"/>
              <w:bottom w:val="single" w:sz="4" w:space="0" w:color="auto"/>
              <w:right w:val="nil"/>
            </w:tcBorders>
            <w:shd w:val="clear" w:color="auto" w:fill="auto"/>
            <w:noWrap/>
            <w:textDirection w:val="btLr"/>
            <w:vAlign w:val="bottom"/>
            <w:hideMark/>
          </w:tcPr>
          <w:p w14:paraId="6EBB2E4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Population</w:t>
            </w:r>
          </w:p>
        </w:tc>
        <w:tc>
          <w:tcPr>
            <w:tcW w:w="800" w:type="dxa"/>
            <w:tcBorders>
              <w:top w:val="nil"/>
              <w:left w:val="nil"/>
              <w:bottom w:val="single" w:sz="4" w:space="0" w:color="auto"/>
              <w:right w:val="nil"/>
            </w:tcBorders>
            <w:shd w:val="clear" w:color="auto" w:fill="auto"/>
            <w:noWrap/>
            <w:textDirection w:val="btLr"/>
            <w:vAlign w:val="bottom"/>
            <w:hideMark/>
          </w:tcPr>
          <w:p w14:paraId="1DEA2DE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White, Not Hispanic</w:t>
            </w:r>
          </w:p>
        </w:tc>
        <w:tc>
          <w:tcPr>
            <w:tcW w:w="760" w:type="dxa"/>
            <w:tcBorders>
              <w:top w:val="nil"/>
              <w:left w:val="nil"/>
              <w:bottom w:val="single" w:sz="4" w:space="0" w:color="auto"/>
              <w:right w:val="nil"/>
            </w:tcBorders>
            <w:shd w:val="clear" w:color="auto" w:fill="auto"/>
            <w:noWrap/>
            <w:textDirection w:val="btLr"/>
            <w:vAlign w:val="bottom"/>
            <w:hideMark/>
          </w:tcPr>
          <w:p w14:paraId="3BF0036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Hispanic</w:t>
            </w:r>
          </w:p>
        </w:tc>
        <w:tc>
          <w:tcPr>
            <w:tcW w:w="700" w:type="dxa"/>
            <w:tcBorders>
              <w:top w:val="nil"/>
              <w:left w:val="nil"/>
              <w:bottom w:val="single" w:sz="4" w:space="0" w:color="auto"/>
              <w:right w:val="nil"/>
            </w:tcBorders>
            <w:shd w:val="clear" w:color="auto" w:fill="auto"/>
            <w:noWrap/>
            <w:textDirection w:val="btLr"/>
            <w:vAlign w:val="bottom"/>
            <w:hideMark/>
          </w:tcPr>
          <w:p w14:paraId="01BF9CB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American Indian</w:t>
            </w:r>
          </w:p>
        </w:tc>
        <w:tc>
          <w:tcPr>
            <w:tcW w:w="660" w:type="dxa"/>
            <w:tcBorders>
              <w:top w:val="nil"/>
              <w:left w:val="nil"/>
              <w:bottom w:val="single" w:sz="4" w:space="0" w:color="auto"/>
              <w:right w:val="nil"/>
            </w:tcBorders>
            <w:shd w:val="clear" w:color="auto" w:fill="auto"/>
            <w:noWrap/>
            <w:textDirection w:val="btLr"/>
            <w:vAlign w:val="bottom"/>
            <w:hideMark/>
          </w:tcPr>
          <w:p w14:paraId="2EEC4D4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Asian</w:t>
            </w:r>
          </w:p>
        </w:tc>
        <w:tc>
          <w:tcPr>
            <w:tcW w:w="620" w:type="dxa"/>
            <w:tcBorders>
              <w:top w:val="nil"/>
              <w:left w:val="nil"/>
              <w:bottom w:val="single" w:sz="4" w:space="0" w:color="auto"/>
              <w:right w:val="nil"/>
            </w:tcBorders>
            <w:shd w:val="clear" w:color="auto" w:fill="auto"/>
            <w:noWrap/>
            <w:textDirection w:val="btLr"/>
            <w:vAlign w:val="bottom"/>
            <w:hideMark/>
          </w:tcPr>
          <w:p w14:paraId="3A5DA87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Black</w:t>
            </w:r>
          </w:p>
        </w:tc>
        <w:tc>
          <w:tcPr>
            <w:tcW w:w="520" w:type="dxa"/>
            <w:tcBorders>
              <w:top w:val="nil"/>
              <w:left w:val="nil"/>
              <w:bottom w:val="single" w:sz="4" w:space="0" w:color="auto"/>
              <w:right w:val="nil"/>
            </w:tcBorders>
            <w:shd w:val="clear" w:color="auto" w:fill="auto"/>
            <w:noWrap/>
            <w:textDirection w:val="btLr"/>
            <w:vAlign w:val="bottom"/>
            <w:hideMark/>
          </w:tcPr>
          <w:p w14:paraId="3614978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Pacific Islander</w:t>
            </w:r>
          </w:p>
        </w:tc>
        <w:tc>
          <w:tcPr>
            <w:tcW w:w="660" w:type="dxa"/>
            <w:tcBorders>
              <w:top w:val="nil"/>
              <w:left w:val="nil"/>
              <w:bottom w:val="single" w:sz="4" w:space="0" w:color="auto"/>
              <w:right w:val="nil"/>
            </w:tcBorders>
            <w:shd w:val="clear" w:color="auto" w:fill="auto"/>
            <w:noWrap/>
            <w:textDirection w:val="btLr"/>
            <w:vAlign w:val="bottom"/>
            <w:hideMark/>
          </w:tcPr>
          <w:p w14:paraId="4F05D5A8"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Other</w:t>
            </w:r>
          </w:p>
        </w:tc>
        <w:tc>
          <w:tcPr>
            <w:tcW w:w="640" w:type="dxa"/>
            <w:tcBorders>
              <w:top w:val="nil"/>
              <w:left w:val="nil"/>
              <w:bottom w:val="single" w:sz="4" w:space="0" w:color="auto"/>
              <w:right w:val="nil"/>
            </w:tcBorders>
            <w:shd w:val="clear" w:color="auto" w:fill="auto"/>
            <w:noWrap/>
            <w:textDirection w:val="btLr"/>
            <w:vAlign w:val="bottom"/>
            <w:hideMark/>
          </w:tcPr>
          <w:p w14:paraId="2DE2700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2 or More Races</w:t>
            </w:r>
          </w:p>
        </w:tc>
      </w:tr>
      <w:tr w:rsidR="004F1CEA" w:rsidRPr="004F1CEA" w14:paraId="04134595"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1A3D40C"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w:t>
            </w:r>
          </w:p>
        </w:tc>
        <w:tc>
          <w:tcPr>
            <w:tcW w:w="960" w:type="dxa"/>
            <w:tcBorders>
              <w:top w:val="nil"/>
              <w:left w:val="nil"/>
              <w:bottom w:val="single" w:sz="4" w:space="0" w:color="auto"/>
              <w:right w:val="single" w:sz="4" w:space="0" w:color="auto"/>
            </w:tcBorders>
            <w:shd w:val="clear" w:color="auto" w:fill="auto"/>
            <w:noWrap/>
            <w:vAlign w:val="bottom"/>
            <w:hideMark/>
          </w:tcPr>
          <w:p w14:paraId="150AA10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14,202</w:t>
            </w:r>
          </w:p>
        </w:tc>
        <w:tc>
          <w:tcPr>
            <w:tcW w:w="800" w:type="dxa"/>
            <w:tcBorders>
              <w:top w:val="nil"/>
              <w:left w:val="nil"/>
              <w:bottom w:val="single" w:sz="4" w:space="0" w:color="auto"/>
              <w:right w:val="single" w:sz="4" w:space="0" w:color="auto"/>
            </w:tcBorders>
            <w:shd w:val="clear" w:color="auto" w:fill="auto"/>
            <w:noWrap/>
            <w:vAlign w:val="bottom"/>
            <w:hideMark/>
          </w:tcPr>
          <w:p w14:paraId="53D187F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9,687</w:t>
            </w:r>
          </w:p>
        </w:tc>
        <w:tc>
          <w:tcPr>
            <w:tcW w:w="760" w:type="dxa"/>
            <w:tcBorders>
              <w:top w:val="nil"/>
              <w:left w:val="nil"/>
              <w:bottom w:val="single" w:sz="4" w:space="0" w:color="auto"/>
              <w:right w:val="single" w:sz="4" w:space="0" w:color="auto"/>
            </w:tcBorders>
            <w:shd w:val="clear" w:color="auto" w:fill="auto"/>
            <w:noWrap/>
            <w:vAlign w:val="bottom"/>
            <w:hideMark/>
          </w:tcPr>
          <w:p w14:paraId="285A5F4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3,762</w:t>
            </w:r>
          </w:p>
        </w:tc>
        <w:tc>
          <w:tcPr>
            <w:tcW w:w="700" w:type="dxa"/>
            <w:tcBorders>
              <w:top w:val="nil"/>
              <w:left w:val="nil"/>
              <w:bottom w:val="single" w:sz="4" w:space="0" w:color="auto"/>
              <w:right w:val="single" w:sz="4" w:space="0" w:color="auto"/>
            </w:tcBorders>
            <w:shd w:val="clear" w:color="auto" w:fill="auto"/>
            <w:noWrap/>
            <w:vAlign w:val="bottom"/>
            <w:hideMark/>
          </w:tcPr>
          <w:p w14:paraId="2E052DD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239</w:t>
            </w:r>
          </w:p>
        </w:tc>
        <w:tc>
          <w:tcPr>
            <w:tcW w:w="660" w:type="dxa"/>
            <w:tcBorders>
              <w:top w:val="nil"/>
              <w:left w:val="nil"/>
              <w:bottom w:val="single" w:sz="4" w:space="0" w:color="auto"/>
              <w:right w:val="single" w:sz="4" w:space="0" w:color="auto"/>
            </w:tcBorders>
            <w:shd w:val="clear" w:color="auto" w:fill="auto"/>
            <w:noWrap/>
            <w:vAlign w:val="bottom"/>
            <w:hideMark/>
          </w:tcPr>
          <w:p w14:paraId="17BD245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191</w:t>
            </w:r>
          </w:p>
        </w:tc>
        <w:tc>
          <w:tcPr>
            <w:tcW w:w="620" w:type="dxa"/>
            <w:tcBorders>
              <w:top w:val="nil"/>
              <w:left w:val="nil"/>
              <w:bottom w:val="single" w:sz="4" w:space="0" w:color="auto"/>
              <w:right w:val="single" w:sz="4" w:space="0" w:color="auto"/>
            </w:tcBorders>
            <w:shd w:val="clear" w:color="auto" w:fill="auto"/>
            <w:noWrap/>
            <w:vAlign w:val="bottom"/>
            <w:hideMark/>
          </w:tcPr>
          <w:p w14:paraId="4E2717A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42</w:t>
            </w:r>
          </w:p>
        </w:tc>
        <w:tc>
          <w:tcPr>
            <w:tcW w:w="520" w:type="dxa"/>
            <w:tcBorders>
              <w:top w:val="nil"/>
              <w:left w:val="nil"/>
              <w:bottom w:val="single" w:sz="4" w:space="0" w:color="auto"/>
              <w:right w:val="single" w:sz="4" w:space="0" w:color="auto"/>
            </w:tcBorders>
            <w:shd w:val="clear" w:color="auto" w:fill="auto"/>
            <w:noWrap/>
            <w:vAlign w:val="bottom"/>
            <w:hideMark/>
          </w:tcPr>
          <w:p w14:paraId="4CC2846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660" w:type="dxa"/>
            <w:tcBorders>
              <w:top w:val="nil"/>
              <w:left w:val="nil"/>
              <w:bottom w:val="single" w:sz="4" w:space="0" w:color="auto"/>
              <w:right w:val="single" w:sz="4" w:space="0" w:color="auto"/>
            </w:tcBorders>
            <w:shd w:val="clear" w:color="auto" w:fill="auto"/>
            <w:noWrap/>
            <w:vAlign w:val="bottom"/>
            <w:hideMark/>
          </w:tcPr>
          <w:p w14:paraId="5D5D77F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w:t>
            </w:r>
          </w:p>
        </w:tc>
        <w:tc>
          <w:tcPr>
            <w:tcW w:w="640" w:type="dxa"/>
            <w:tcBorders>
              <w:top w:val="nil"/>
              <w:left w:val="nil"/>
              <w:bottom w:val="single" w:sz="4" w:space="0" w:color="auto"/>
              <w:right w:val="single" w:sz="4" w:space="0" w:color="auto"/>
            </w:tcBorders>
            <w:shd w:val="clear" w:color="auto" w:fill="auto"/>
            <w:noWrap/>
            <w:vAlign w:val="bottom"/>
            <w:hideMark/>
          </w:tcPr>
          <w:p w14:paraId="65D0532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237</w:t>
            </w:r>
          </w:p>
        </w:tc>
      </w:tr>
      <w:tr w:rsidR="004F1CEA" w:rsidRPr="004F1CEA" w14:paraId="50F886F5" w14:textId="77777777" w:rsidTr="004F1CEA">
        <w:trPr>
          <w:trHeight w:val="300"/>
        </w:trPr>
        <w:tc>
          <w:tcPr>
            <w:tcW w:w="2440" w:type="dxa"/>
            <w:tcBorders>
              <w:top w:val="nil"/>
              <w:left w:val="single" w:sz="4" w:space="0" w:color="auto"/>
              <w:bottom w:val="single" w:sz="4" w:space="0" w:color="auto"/>
              <w:right w:val="nil"/>
            </w:tcBorders>
            <w:shd w:val="clear" w:color="auto" w:fill="auto"/>
            <w:noWrap/>
            <w:vAlign w:val="bottom"/>
            <w:hideMark/>
          </w:tcPr>
          <w:p w14:paraId="72611801" w14:textId="77777777" w:rsidR="004F1CEA" w:rsidRPr="004F1CEA" w:rsidRDefault="004F1CEA" w:rsidP="004F1CEA">
            <w:pPr>
              <w:spacing w:after="0" w:line="240" w:lineRule="auto"/>
              <w:rPr>
                <w:rFonts w:eastAsia="Times New Roman" w:cs="Times New Roman"/>
                <w:b/>
                <w:bCs/>
                <w:color w:val="000000"/>
              </w:rPr>
            </w:pPr>
            <w:r w:rsidRPr="004F1CEA">
              <w:rPr>
                <w:rFonts w:eastAsia="Times New Roman" w:cs="Times New Roman"/>
                <w:b/>
                <w:bCs/>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14:paraId="11E2C50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00" w:type="dxa"/>
            <w:tcBorders>
              <w:top w:val="nil"/>
              <w:left w:val="nil"/>
              <w:bottom w:val="single" w:sz="4" w:space="0" w:color="auto"/>
              <w:right w:val="nil"/>
            </w:tcBorders>
            <w:shd w:val="clear" w:color="auto" w:fill="auto"/>
            <w:noWrap/>
            <w:vAlign w:val="bottom"/>
            <w:hideMark/>
          </w:tcPr>
          <w:p w14:paraId="43ACFE9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60" w:type="dxa"/>
            <w:tcBorders>
              <w:top w:val="nil"/>
              <w:left w:val="nil"/>
              <w:bottom w:val="single" w:sz="4" w:space="0" w:color="auto"/>
              <w:right w:val="nil"/>
            </w:tcBorders>
            <w:shd w:val="clear" w:color="auto" w:fill="auto"/>
            <w:noWrap/>
            <w:vAlign w:val="bottom"/>
            <w:hideMark/>
          </w:tcPr>
          <w:p w14:paraId="5EB00CB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22E5DB1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671219A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14:paraId="3C6F0CE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520" w:type="dxa"/>
            <w:tcBorders>
              <w:top w:val="nil"/>
              <w:left w:val="nil"/>
              <w:bottom w:val="single" w:sz="4" w:space="0" w:color="auto"/>
              <w:right w:val="nil"/>
            </w:tcBorders>
            <w:shd w:val="clear" w:color="auto" w:fill="auto"/>
            <w:noWrap/>
            <w:vAlign w:val="bottom"/>
            <w:hideMark/>
          </w:tcPr>
          <w:p w14:paraId="0B4E258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500357D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2B4D566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0169E0A0"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95E412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Mammoth Lakes</w:t>
            </w:r>
          </w:p>
        </w:tc>
        <w:tc>
          <w:tcPr>
            <w:tcW w:w="960" w:type="dxa"/>
            <w:tcBorders>
              <w:top w:val="nil"/>
              <w:left w:val="nil"/>
              <w:bottom w:val="single" w:sz="4" w:space="0" w:color="auto"/>
              <w:right w:val="single" w:sz="4" w:space="0" w:color="auto"/>
            </w:tcBorders>
            <w:shd w:val="clear" w:color="auto" w:fill="auto"/>
            <w:noWrap/>
            <w:vAlign w:val="bottom"/>
            <w:hideMark/>
          </w:tcPr>
          <w:p w14:paraId="5FF6D22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8,234</w:t>
            </w:r>
          </w:p>
        </w:tc>
        <w:tc>
          <w:tcPr>
            <w:tcW w:w="800" w:type="dxa"/>
            <w:tcBorders>
              <w:top w:val="nil"/>
              <w:left w:val="nil"/>
              <w:bottom w:val="single" w:sz="4" w:space="0" w:color="auto"/>
              <w:right w:val="single" w:sz="4" w:space="0" w:color="auto"/>
            </w:tcBorders>
            <w:shd w:val="clear" w:color="auto" w:fill="auto"/>
            <w:noWrap/>
            <w:vAlign w:val="bottom"/>
            <w:hideMark/>
          </w:tcPr>
          <w:p w14:paraId="1AE82F1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5,143</w:t>
            </w:r>
          </w:p>
        </w:tc>
        <w:tc>
          <w:tcPr>
            <w:tcW w:w="760" w:type="dxa"/>
            <w:tcBorders>
              <w:top w:val="nil"/>
              <w:left w:val="nil"/>
              <w:bottom w:val="single" w:sz="4" w:space="0" w:color="auto"/>
              <w:right w:val="single" w:sz="4" w:space="0" w:color="auto"/>
            </w:tcBorders>
            <w:shd w:val="clear" w:color="auto" w:fill="auto"/>
            <w:noWrap/>
            <w:vAlign w:val="bottom"/>
            <w:hideMark/>
          </w:tcPr>
          <w:p w14:paraId="5862EC1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2,772</w:t>
            </w:r>
          </w:p>
        </w:tc>
        <w:tc>
          <w:tcPr>
            <w:tcW w:w="700" w:type="dxa"/>
            <w:tcBorders>
              <w:top w:val="nil"/>
              <w:left w:val="nil"/>
              <w:bottom w:val="single" w:sz="4" w:space="0" w:color="auto"/>
              <w:right w:val="single" w:sz="4" w:space="0" w:color="auto"/>
            </w:tcBorders>
            <w:shd w:val="clear" w:color="auto" w:fill="auto"/>
            <w:noWrap/>
            <w:vAlign w:val="bottom"/>
            <w:hideMark/>
          </w:tcPr>
          <w:p w14:paraId="6608997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32</w:t>
            </w:r>
          </w:p>
        </w:tc>
        <w:tc>
          <w:tcPr>
            <w:tcW w:w="660" w:type="dxa"/>
            <w:tcBorders>
              <w:top w:val="nil"/>
              <w:left w:val="nil"/>
              <w:bottom w:val="single" w:sz="4" w:space="0" w:color="auto"/>
              <w:right w:val="single" w:sz="4" w:space="0" w:color="auto"/>
            </w:tcBorders>
            <w:shd w:val="clear" w:color="auto" w:fill="auto"/>
            <w:noWrap/>
            <w:vAlign w:val="bottom"/>
            <w:hideMark/>
          </w:tcPr>
          <w:p w14:paraId="72F4DD1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128</w:t>
            </w:r>
          </w:p>
        </w:tc>
        <w:tc>
          <w:tcPr>
            <w:tcW w:w="620" w:type="dxa"/>
            <w:tcBorders>
              <w:top w:val="nil"/>
              <w:left w:val="nil"/>
              <w:bottom w:val="single" w:sz="4" w:space="0" w:color="auto"/>
              <w:right w:val="single" w:sz="4" w:space="0" w:color="auto"/>
            </w:tcBorders>
            <w:shd w:val="clear" w:color="auto" w:fill="auto"/>
            <w:noWrap/>
            <w:vAlign w:val="bottom"/>
            <w:hideMark/>
          </w:tcPr>
          <w:p w14:paraId="36D1F02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29</w:t>
            </w:r>
          </w:p>
        </w:tc>
        <w:tc>
          <w:tcPr>
            <w:tcW w:w="520" w:type="dxa"/>
            <w:tcBorders>
              <w:top w:val="nil"/>
              <w:left w:val="nil"/>
              <w:bottom w:val="single" w:sz="4" w:space="0" w:color="auto"/>
              <w:right w:val="single" w:sz="4" w:space="0" w:color="auto"/>
            </w:tcBorders>
            <w:shd w:val="clear" w:color="auto" w:fill="auto"/>
            <w:noWrap/>
            <w:vAlign w:val="bottom"/>
            <w:hideMark/>
          </w:tcPr>
          <w:p w14:paraId="2EF5EDB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60" w:type="dxa"/>
            <w:tcBorders>
              <w:top w:val="nil"/>
              <w:left w:val="nil"/>
              <w:bottom w:val="single" w:sz="4" w:space="0" w:color="auto"/>
              <w:right w:val="single" w:sz="4" w:space="0" w:color="auto"/>
            </w:tcBorders>
            <w:shd w:val="clear" w:color="auto" w:fill="auto"/>
            <w:noWrap/>
            <w:vAlign w:val="bottom"/>
            <w:hideMark/>
          </w:tcPr>
          <w:p w14:paraId="2BAE5E0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640" w:type="dxa"/>
            <w:tcBorders>
              <w:top w:val="nil"/>
              <w:left w:val="nil"/>
              <w:bottom w:val="single" w:sz="4" w:space="0" w:color="auto"/>
              <w:right w:val="single" w:sz="4" w:space="0" w:color="auto"/>
            </w:tcBorders>
            <w:shd w:val="clear" w:color="auto" w:fill="auto"/>
            <w:noWrap/>
            <w:vAlign w:val="bottom"/>
            <w:hideMark/>
          </w:tcPr>
          <w:p w14:paraId="5B5906E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112</w:t>
            </w:r>
          </w:p>
        </w:tc>
      </w:tr>
      <w:tr w:rsidR="004F1CEA" w:rsidRPr="004F1CEA" w14:paraId="73D119C2" w14:textId="77777777" w:rsidTr="004F1CEA">
        <w:trPr>
          <w:trHeight w:val="300"/>
        </w:trPr>
        <w:tc>
          <w:tcPr>
            <w:tcW w:w="2440" w:type="dxa"/>
            <w:tcBorders>
              <w:top w:val="nil"/>
              <w:left w:val="single" w:sz="4" w:space="0" w:color="auto"/>
              <w:bottom w:val="single" w:sz="4" w:space="0" w:color="auto"/>
              <w:right w:val="nil"/>
            </w:tcBorders>
            <w:shd w:val="clear" w:color="auto" w:fill="auto"/>
            <w:noWrap/>
            <w:vAlign w:val="bottom"/>
            <w:hideMark/>
          </w:tcPr>
          <w:p w14:paraId="55DB096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14:paraId="4F04A5D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00" w:type="dxa"/>
            <w:tcBorders>
              <w:top w:val="nil"/>
              <w:left w:val="nil"/>
              <w:bottom w:val="single" w:sz="4" w:space="0" w:color="auto"/>
              <w:right w:val="nil"/>
            </w:tcBorders>
            <w:shd w:val="clear" w:color="auto" w:fill="auto"/>
            <w:noWrap/>
            <w:vAlign w:val="bottom"/>
            <w:hideMark/>
          </w:tcPr>
          <w:p w14:paraId="005BCE6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60" w:type="dxa"/>
            <w:tcBorders>
              <w:top w:val="nil"/>
              <w:left w:val="nil"/>
              <w:bottom w:val="single" w:sz="4" w:space="0" w:color="auto"/>
              <w:right w:val="nil"/>
            </w:tcBorders>
            <w:shd w:val="clear" w:color="auto" w:fill="auto"/>
            <w:noWrap/>
            <w:vAlign w:val="bottom"/>
            <w:hideMark/>
          </w:tcPr>
          <w:p w14:paraId="5D09107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3FC98C0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320DFF3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14:paraId="5E05124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520" w:type="dxa"/>
            <w:tcBorders>
              <w:top w:val="nil"/>
              <w:left w:val="nil"/>
              <w:bottom w:val="single" w:sz="4" w:space="0" w:color="auto"/>
              <w:right w:val="nil"/>
            </w:tcBorders>
            <w:shd w:val="clear" w:color="auto" w:fill="auto"/>
            <w:noWrap/>
            <w:vAlign w:val="bottom"/>
            <w:hideMark/>
          </w:tcPr>
          <w:p w14:paraId="039A650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5522FC2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3A308E5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05DC26F8"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7D6213C"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 -Town</w:t>
            </w:r>
          </w:p>
        </w:tc>
        <w:tc>
          <w:tcPr>
            <w:tcW w:w="960" w:type="dxa"/>
            <w:tcBorders>
              <w:top w:val="nil"/>
              <w:left w:val="nil"/>
              <w:bottom w:val="single" w:sz="4" w:space="0" w:color="auto"/>
              <w:right w:val="single" w:sz="4" w:space="0" w:color="auto"/>
            </w:tcBorders>
            <w:shd w:val="clear" w:color="auto" w:fill="auto"/>
            <w:noWrap/>
            <w:vAlign w:val="bottom"/>
            <w:hideMark/>
          </w:tcPr>
          <w:p w14:paraId="2CC5DB1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5,968</w:t>
            </w:r>
          </w:p>
        </w:tc>
        <w:tc>
          <w:tcPr>
            <w:tcW w:w="800" w:type="dxa"/>
            <w:tcBorders>
              <w:top w:val="nil"/>
              <w:left w:val="nil"/>
              <w:bottom w:val="single" w:sz="4" w:space="0" w:color="auto"/>
              <w:right w:val="single" w:sz="4" w:space="0" w:color="auto"/>
            </w:tcBorders>
            <w:shd w:val="clear" w:color="auto" w:fill="auto"/>
            <w:noWrap/>
            <w:vAlign w:val="bottom"/>
            <w:hideMark/>
          </w:tcPr>
          <w:p w14:paraId="3D7277C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4,544</w:t>
            </w:r>
          </w:p>
        </w:tc>
        <w:tc>
          <w:tcPr>
            <w:tcW w:w="760" w:type="dxa"/>
            <w:tcBorders>
              <w:top w:val="nil"/>
              <w:left w:val="nil"/>
              <w:bottom w:val="single" w:sz="4" w:space="0" w:color="auto"/>
              <w:right w:val="single" w:sz="4" w:space="0" w:color="auto"/>
            </w:tcBorders>
            <w:shd w:val="clear" w:color="auto" w:fill="auto"/>
            <w:noWrap/>
            <w:vAlign w:val="bottom"/>
            <w:hideMark/>
          </w:tcPr>
          <w:p w14:paraId="6B696A7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990</w:t>
            </w:r>
          </w:p>
        </w:tc>
        <w:tc>
          <w:tcPr>
            <w:tcW w:w="700" w:type="dxa"/>
            <w:tcBorders>
              <w:top w:val="nil"/>
              <w:left w:val="nil"/>
              <w:bottom w:val="single" w:sz="4" w:space="0" w:color="auto"/>
              <w:right w:val="single" w:sz="4" w:space="0" w:color="auto"/>
            </w:tcBorders>
            <w:shd w:val="clear" w:color="auto" w:fill="auto"/>
            <w:noWrap/>
            <w:vAlign w:val="bottom"/>
            <w:hideMark/>
          </w:tcPr>
          <w:p w14:paraId="4625AC3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207</w:t>
            </w:r>
          </w:p>
        </w:tc>
        <w:tc>
          <w:tcPr>
            <w:tcW w:w="660" w:type="dxa"/>
            <w:tcBorders>
              <w:top w:val="nil"/>
              <w:left w:val="nil"/>
              <w:bottom w:val="single" w:sz="4" w:space="0" w:color="auto"/>
              <w:right w:val="single" w:sz="4" w:space="0" w:color="auto"/>
            </w:tcBorders>
            <w:shd w:val="clear" w:color="auto" w:fill="auto"/>
            <w:noWrap/>
            <w:vAlign w:val="bottom"/>
            <w:hideMark/>
          </w:tcPr>
          <w:p w14:paraId="2E4CD6A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63</w:t>
            </w:r>
          </w:p>
        </w:tc>
        <w:tc>
          <w:tcPr>
            <w:tcW w:w="620" w:type="dxa"/>
            <w:tcBorders>
              <w:top w:val="nil"/>
              <w:left w:val="nil"/>
              <w:bottom w:val="single" w:sz="4" w:space="0" w:color="auto"/>
              <w:right w:val="single" w:sz="4" w:space="0" w:color="auto"/>
            </w:tcBorders>
            <w:shd w:val="clear" w:color="auto" w:fill="auto"/>
            <w:noWrap/>
            <w:vAlign w:val="bottom"/>
            <w:hideMark/>
          </w:tcPr>
          <w:p w14:paraId="54D3BD9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520" w:type="dxa"/>
            <w:tcBorders>
              <w:top w:val="nil"/>
              <w:left w:val="nil"/>
              <w:bottom w:val="single" w:sz="4" w:space="0" w:color="auto"/>
              <w:right w:val="single" w:sz="4" w:space="0" w:color="auto"/>
            </w:tcBorders>
            <w:shd w:val="clear" w:color="auto" w:fill="auto"/>
            <w:noWrap/>
            <w:vAlign w:val="bottom"/>
            <w:hideMark/>
          </w:tcPr>
          <w:p w14:paraId="5A1D9D3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w:t>
            </w:r>
          </w:p>
        </w:tc>
        <w:tc>
          <w:tcPr>
            <w:tcW w:w="660" w:type="dxa"/>
            <w:tcBorders>
              <w:top w:val="nil"/>
              <w:left w:val="nil"/>
              <w:bottom w:val="single" w:sz="4" w:space="0" w:color="auto"/>
              <w:right w:val="single" w:sz="4" w:space="0" w:color="auto"/>
            </w:tcBorders>
            <w:shd w:val="clear" w:color="auto" w:fill="auto"/>
            <w:noWrap/>
            <w:vAlign w:val="bottom"/>
            <w:hideMark/>
          </w:tcPr>
          <w:p w14:paraId="3D25A39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w:t>
            </w:r>
          </w:p>
        </w:tc>
        <w:tc>
          <w:tcPr>
            <w:tcW w:w="640" w:type="dxa"/>
            <w:tcBorders>
              <w:top w:val="nil"/>
              <w:left w:val="nil"/>
              <w:bottom w:val="single" w:sz="4" w:space="0" w:color="auto"/>
              <w:right w:val="single" w:sz="4" w:space="0" w:color="auto"/>
            </w:tcBorders>
            <w:shd w:val="clear" w:color="auto" w:fill="auto"/>
            <w:noWrap/>
            <w:vAlign w:val="bottom"/>
            <w:hideMark/>
          </w:tcPr>
          <w:p w14:paraId="6800E84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125</w:t>
            </w:r>
          </w:p>
        </w:tc>
      </w:tr>
      <w:tr w:rsidR="004F1CEA" w:rsidRPr="004F1CEA" w14:paraId="1A7E88C5" w14:textId="77777777" w:rsidTr="004F1CEA">
        <w:trPr>
          <w:trHeight w:val="300"/>
        </w:trPr>
        <w:tc>
          <w:tcPr>
            <w:tcW w:w="2440" w:type="dxa"/>
            <w:tcBorders>
              <w:top w:val="nil"/>
              <w:left w:val="single" w:sz="4" w:space="0" w:color="auto"/>
              <w:bottom w:val="single" w:sz="4" w:space="0" w:color="auto"/>
              <w:right w:val="nil"/>
            </w:tcBorders>
            <w:shd w:val="clear" w:color="auto" w:fill="auto"/>
            <w:noWrap/>
            <w:vAlign w:val="bottom"/>
            <w:hideMark/>
          </w:tcPr>
          <w:p w14:paraId="69CFA18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single" w:sz="4" w:space="0" w:color="auto"/>
              <w:bottom w:val="nil"/>
              <w:right w:val="nil"/>
            </w:tcBorders>
            <w:shd w:val="clear" w:color="auto" w:fill="auto"/>
            <w:noWrap/>
            <w:vAlign w:val="bottom"/>
            <w:hideMark/>
          </w:tcPr>
          <w:p w14:paraId="5D74A30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00" w:type="dxa"/>
            <w:tcBorders>
              <w:top w:val="nil"/>
              <w:left w:val="nil"/>
              <w:bottom w:val="nil"/>
              <w:right w:val="nil"/>
            </w:tcBorders>
            <w:shd w:val="clear" w:color="auto" w:fill="auto"/>
            <w:noWrap/>
            <w:vAlign w:val="bottom"/>
            <w:hideMark/>
          </w:tcPr>
          <w:p w14:paraId="5E9F9F2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60" w:type="dxa"/>
            <w:tcBorders>
              <w:top w:val="nil"/>
              <w:left w:val="nil"/>
              <w:bottom w:val="nil"/>
              <w:right w:val="nil"/>
            </w:tcBorders>
            <w:shd w:val="clear" w:color="auto" w:fill="auto"/>
            <w:noWrap/>
            <w:vAlign w:val="bottom"/>
            <w:hideMark/>
          </w:tcPr>
          <w:p w14:paraId="2CA9AA4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nil"/>
              <w:right w:val="nil"/>
            </w:tcBorders>
            <w:shd w:val="clear" w:color="auto" w:fill="auto"/>
            <w:noWrap/>
            <w:vAlign w:val="bottom"/>
            <w:hideMark/>
          </w:tcPr>
          <w:p w14:paraId="03F6637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nil"/>
              <w:right w:val="nil"/>
            </w:tcBorders>
            <w:shd w:val="clear" w:color="auto" w:fill="auto"/>
            <w:noWrap/>
            <w:vAlign w:val="bottom"/>
            <w:hideMark/>
          </w:tcPr>
          <w:p w14:paraId="1E51FDB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20" w:type="dxa"/>
            <w:tcBorders>
              <w:top w:val="nil"/>
              <w:left w:val="nil"/>
              <w:bottom w:val="nil"/>
              <w:right w:val="nil"/>
            </w:tcBorders>
            <w:shd w:val="clear" w:color="auto" w:fill="auto"/>
            <w:noWrap/>
            <w:vAlign w:val="bottom"/>
            <w:hideMark/>
          </w:tcPr>
          <w:p w14:paraId="4A7ED4C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520" w:type="dxa"/>
            <w:tcBorders>
              <w:top w:val="nil"/>
              <w:left w:val="nil"/>
              <w:bottom w:val="nil"/>
              <w:right w:val="nil"/>
            </w:tcBorders>
            <w:shd w:val="clear" w:color="auto" w:fill="auto"/>
            <w:noWrap/>
            <w:vAlign w:val="bottom"/>
            <w:hideMark/>
          </w:tcPr>
          <w:p w14:paraId="7EB6CAA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nil"/>
              <w:right w:val="nil"/>
            </w:tcBorders>
            <w:shd w:val="clear" w:color="auto" w:fill="auto"/>
            <w:noWrap/>
            <w:vAlign w:val="bottom"/>
            <w:hideMark/>
          </w:tcPr>
          <w:p w14:paraId="458A925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40" w:type="dxa"/>
            <w:tcBorders>
              <w:top w:val="nil"/>
              <w:left w:val="nil"/>
              <w:bottom w:val="nil"/>
              <w:right w:val="nil"/>
            </w:tcBorders>
            <w:shd w:val="clear" w:color="auto" w:fill="auto"/>
            <w:noWrap/>
            <w:vAlign w:val="bottom"/>
            <w:hideMark/>
          </w:tcPr>
          <w:p w14:paraId="701CC35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613DE19C" w14:textId="77777777" w:rsidTr="004F1CEA">
        <w:trPr>
          <w:trHeight w:val="300"/>
        </w:trPr>
        <w:tc>
          <w:tcPr>
            <w:tcW w:w="2440" w:type="dxa"/>
            <w:tcBorders>
              <w:top w:val="nil"/>
              <w:left w:val="single" w:sz="4" w:space="0" w:color="auto"/>
              <w:bottom w:val="single" w:sz="4" w:space="0" w:color="auto"/>
              <w:right w:val="nil"/>
            </w:tcBorders>
            <w:shd w:val="clear" w:color="auto" w:fill="auto"/>
            <w:noWrap/>
            <w:vAlign w:val="bottom"/>
            <w:hideMark/>
          </w:tcPr>
          <w:p w14:paraId="0351AED5" w14:textId="77777777" w:rsidR="004F1CEA" w:rsidRPr="004F1CEA" w:rsidRDefault="004F1CEA" w:rsidP="004F1CEA">
            <w:pPr>
              <w:spacing w:after="0" w:line="240" w:lineRule="auto"/>
              <w:rPr>
                <w:rFonts w:eastAsia="Times New Roman" w:cs="Times New Roman"/>
                <w:i/>
                <w:iCs/>
                <w:color w:val="000000"/>
              </w:rPr>
            </w:pPr>
            <w:r w:rsidRPr="004F1CEA">
              <w:rPr>
                <w:rFonts w:eastAsia="Times New Roman" w:cs="Times New Roman"/>
                <w:i/>
                <w:iCs/>
                <w:color w:val="000000"/>
              </w:rPr>
              <w:t>Mono County CDPs</w:t>
            </w:r>
          </w:p>
        </w:tc>
        <w:tc>
          <w:tcPr>
            <w:tcW w:w="960" w:type="dxa"/>
            <w:tcBorders>
              <w:top w:val="nil"/>
              <w:left w:val="single" w:sz="4" w:space="0" w:color="auto"/>
              <w:bottom w:val="single" w:sz="4" w:space="0" w:color="auto"/>
              <w:right w:val="nil"/>
            </w:tcBorders>
            <w:shd w:val="clear" w:color="auto" w:fill="auto"/>
            <w:noWrap/>
            <w:vAlign w:val="bottom"/>
            <w:hideMark/>
          </w:tcPr>
          <w:p w14:paraId="6FACDCD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00" w:type="dxa"/>
            <w:tcBorders>
              <w:top w:val="nil"/>
              <w:left w:val="nil"/>
              <w:bottom w:val="single" w:sz="4" w:space="0" w:color="auto"/>
              <w:right w:val="nil"/>
            </w:tcBorders>
            <w:shd w:val="clear" w:color="auto" w:fill="auto"/>
            <w:noWrap/>
            <w:vAlign w:val="bottom"/>
            <w:hideMark/>
          </w:tcPr>
          <w:p w14:paraId="55A2396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60" w:type="dxa"/>
            <w:tcBorders>
              <w:top w:val="nil"/>
              <w:left w:val="nil"/>
              <w:bottom w:val="single" w:sz="4" w:space="0" w:color="auto"/>
              <w:right w:val="nil"/>
            </w:tcBorders>
            <w:shd w:val="clear" w:color="auto" w:fill="auto"/>
            <w:noWrap/>
            <w:vAlign w:val="bottom"/>
            <w:hideMark/>
          </w:tcPr>
          <w:p w14:paraId="4B80B52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23B179D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6A9D336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14:paraId="2BC9FCF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520" w:type="dxa"/>
            <w:tcBorders>
              <w:top w:val="nil"/>
              <w:left w:val="nil"/>
              <w:bottom w:val="single" w:sz="4" w:space="0" w:color="auto"/>
              <w:right w:val="nil"/>
            </w:tcBorders>
            <w:shd w:val="clear" w:color="auto" w:fill="auto"/>
            <w:noWrap/>
            <w:vAlign w:val="bottom"/>
            <w:hideMark/>
          </w:tcPr>
          <w:p w14:paraId="7EFB587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0B7CBB6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4B2EE6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536D24FC"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E05150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Chalfant</w:t>
            </w:r>
          </w:p>
        </w:tc>
        <w:tc>
          <w:tcPr>
            <w:tcW w:w="960" w:type="dxa"/>
            <w:tcBorders>
              <w:top w:val="nil"/>
              <w:left w:val="nil"/>
              <w:bottom w:val="single" w:sz="4" w:space="0" w:color="auto"/>
              <w:right w:val="single" w:sz="4" w:space="0" w:color="auto"/>
            </w:tcBorders>
            <w:shd w:val="clear" w:color="auto" w:fill="auto"/>
            <w:noWrap/>
            <w:vAlign w:val="bottom"/>
            <w:hideMark/>
          </w:tcPr>
          <w:p w14:paraId="4404BB4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651</w:t>
            </w:r>
          </w:p>
        </w:tc>
        <w:tc>
          <w:tcPr>
            <w:tcW w:w="800" w:type="dxa"/>
            <w:tcBorders>
              <w:top w:val="nil"/>
              <w:left w:val="nil"/>
              <w:bottom w:val="single" w:sz="4" w:space="0" w:color="auto"/>
              <w:right w:val="single" w:sz="4" w:space="0" w:color="auto"/>
            </w:tcBorders>
            <w:shd w:val="clear" w:color="auto" w:fill="auto"/>
            <w:noWrap/>
            <w:vAlign w:val="bottom"/>
            <w:hideMark/>
          </w:tcPr>
          <w:p w14:paraId="049292A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552</w:t>
            </w:r>
          </w:p>
        </w:tc>
        <w:tc>
          <w:tcPr>
            <w:tcW w:w="760" w:type="dxa"/>
            <w:tcBorders>
              <w:top w:val="nil"/>
              <w:left w:val="nil"/>
              <w:bottom w:val="single" w:sz="4" w:space="0" w:color="auto"/>
              <w:right w:val="single" w:sz="4" w:space="0" w:color="auto"/>
            </w:tcBorders>
            <w:shd w:val="clear" w:color="auto" w:fill="auto"/>
            <w:noWrap/>
            <w:vAlign w:val="bottom"/>
            <w:hideMark/>
          </w:tcPr>
          <w:p w14:paraId="0610D90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67</w:t>
            </w:r>
          </w:p>
        </w:tc>
        <w:tc>
          <w:tcPr>
            <w:tcW w:w="700" w:type="dxa"/>
            <w:tcBorders>
              <w:top w:val="nil"/>
              <w:left w:val="nil"/>
              <w:bottom w:val="single" w:sz="4" w:space="0" w:color="auto"/>
              <w:right w:val="single" w:sz="4" w:space="0" w:color="auto"/>
            </w:tcBorders>
            <w:shd w:val="clear" w:color="auto" w:fill="auto"/>
            <w:noWrap/>
            <w:vAlign w:val="bottom"/>
            <w:hideMark/>
          </w:tcPr>
          <w:p w14:paraId="4F638D0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w:t>
            </w:r>
          </w:p>
        </w:tc>
        <w:tc>
          <w:tcPr>
            <w:tcW w:w="660" w:type="dxa"/>
            <w:tcBorders>
              <w:top w:val="nil"/>
              <w:left w:val="nil"/>
              <w:bottom w:val="single" w:sz="4" w:space="0" w:color="auto"/>
              <w:right w:val="single" w:sz="4" w:space="0" w:color="auto"/>
            </w:tcBorders>
            <w:shd w:val="clear" w:color="auto" w:fill="auto"/>
            <w:noWrap/>
            <w:vAlign w:val="bottom"/>
            <w:hideMark/>
          </w:tcPr>
          <w:p w14:paraId="3926466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20" w:type="dxa"/>
            <w:tcBorders>
              <w:top w:val="nil"/>
              <w:left w:val="nil"/>
              <w:bottom w:val="single" w:sz="4" w:space="0" w:color="auto"/>
              <w:right w:val="single" w:sz="4" w:space="0" w:color="auto"/>
            </w:tcBorders>
            <w:shd w:val="clear" w:color="auto" w:fill="auto"/>
            <w:noWrap/>
            <w:vAlign w:val="bottom"/>
            <w:hideMark/>
          </w:tcPr>
          <w:p w14:paraId="0C6860E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B5A0BD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885A22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69AAAAF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r>
      <w:tr w:rsidR="004F1CEA" w:rsidRPr="004F1CEA" w14:paraId="071991FD"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D30C94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Benton</w:t>
            </w:r>
          </w:p>
        </w:tc>
        <w:tc>
          <w:tcPr>
            <w:tcW w:w="960" w:type="dxa"/>
            <w:tcBorders>
              <w:top w:val="nil"/>
              <w:left w:val="nil"/>
              <w:bottom w:val="single" w:sz="4" w:space="0" w:color="auto"/>
              <w:right w:val="single" w:sz="4" w:space="0" w:color="auto"/>
            </w:tcBorders>
            <w:shd w:val="clear" w:color="auto" w:fill="auto"/>
            <w:noWrap/>
            <w:vAlign w:val="bottom"/>
            <w:hideMark/>
          </w:tcPr>
          <w:p w14:paraId="73A6EB6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280</w:t>
            </w:r>
          </w:p>
        </w:tc>
        <w:tc>
          <w:tcPr>
            <w:tcW w:w="800" w:type="dxa"/>
            <w:tcBorders>
              <w:top w:val="nil"/>
              <w:left w:val="nil"/>
              <w:bottom w:val="single" w:sz="4" w:space="0" w:color="auto"/>
              <w:right w:val="single" w:sz="4" w:space="0" w:color="auto"/>
            </w:tcBorders>
            <w:shd w:val="clear" w:color="auto" w:fill="auto"/>
            <w:noWrap/>
            <w:vAlign w:val="bottom"/>
            <w:hideMark/>
          </w:tcPr>
          <w:p w14:paraId="65A0DDB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188</w:t>
            </w:r>
          </w:p>
        </w:tc>
        <w:tc>
          <w:tcPr>
            <w:tcW w:w="760" w:type="dxa"/>
            <w:tcBorders>
              <w:top w:val="nil"/>
              <w:left w:val="nil"/>
              <w:bottom w:val="single" w:sz="4" w:space="0" w:color="auto"/>
              <w:right w:val="single" w:sz="4" w:space="0" w:color="auto"/>
            </w:tcBorders>
            <w:shd w:val="clear" w:color="auto" w:fill="auto"/>
            <w:noWrap/>
            <w:vAlign w:val="bottom"/>
            <w:hideMark/>
          </w:tcPr>
          <w:p w14:paraId="6766FB3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38</w:t>
            </w:r>
          </w:p>
        </w:tc>
        <w:tc>
          <w:tcPr>
            <w:tcW w:w="700" w:type="dxa"/>
            <w:tcBorders>
              <w:top w:val="nil"/>
              <w:left w:val="nil"/>
              <w:bottom w:val="single" w:sz="4" w:space="0" w:color="auto"/>
              <w:right w:val="single" w:sz="4" w:space="0" w:color="auto"/>
            </w:tcBorders>
            <w:shd w:val="clear" w:color="auto" w:fill="auto"/>
            <w:noWrap/>
            <w:vAlign w:val="bottom"/>
            <w:hideMark/>
          </w:tcPr>
          <w:p w14:paraId="74C0543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49</w:t>
            </w:r>
          </w:p>
        </w:tc>
        <w:tc>
          <w:tcPr>
            <w:tcW w:w="660" w:type="dxa"/>
            <w:tcBorders>
              <w:top w:val="nil"/>
              <w:left w:val="nil"/>
              <w:bottom w:val="single" w:sz="4" w:space="0" w:color="auto"/>
              <w:right w:val="single" w:sz="4" w:space="0" w:color="auto"/>
            </w:tcBorders>
            <w:shd w:val="clear" w:color="auto" w:fill="auto"/>
            <w:noWrap/>
            <w:vAlign w:val="bottom"/>
            <w:hideMark/>
          </w:tcPr>
          <w:p w14:paraId="116C40D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00FF3C4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AB7A1D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1C99F1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3EE8E15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w:t>
            </w:r>
          </w:p>
        </w:tc>
      </w:tr>
      <w:tr w:rsidR="004F1CEA" w:rsidRPr="004F1CEA" w14:paraId="4B49CB98"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B02400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Paradise</w:t>
            </w:r>
          </w:p>
        </w:tc>
        <w:tc>
          <w:tcPr>
            <w:tcW w:w="960" w:type="dxa"/>
            <w:tcBorders>
              <w:top w:val="nil"/>
              <w:left w:val="nil"/>
              <w:bottom w:val="single" w:sz="4" w:space="0" w:color="auto"/>
              <w:right w:val="single" w:sz="4" w:space="0" w:color="auto"/>
            </w:tcBorders>
            <w:shd w:val="clear" w:color="auto" w:fill="auto"/>
            <w:noWrap/>
            <w:vAlign w:val="bottom"/>
            <w:hideMark/>
          </w:tcPr>
          <w:p w14:paraId="205FDB7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153</w:t>
            </w:r>
          </w:p>
        </w:tc>
        <w:tc>
          <w:tcPr>
            <w:tcW w:w="800" w:type="dxa"/>
            <w:tcBorders>
              <w:top w:val="nil"/>
              <w:left w:val="nil"/>
              <w:bottom w:val="single" w:sz="4" w:space="0" w:color="auto"/>
              <w:right w:val="single" w:sz="4" w:space="0" w:color="auto"/>
            </w:tcBorders>
            <w:shd w:val="clear" w:color="auto" w:fill="auto"/>
            <w:noWrap/>
            <w:vAlign w:val="bottom"/>
            <w:hideMark/>
          </w:tcPr>
          <w:p w14:paraId="1873F6B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121</w:t>
            </w:r>
          </w:p>
        </w:tc>
        <w:tc>
          <w:tcPr>
            <w:tcW w:w="760" w:type="dxa"/>
            <w:tcBorders>
              <w:top w:val="nil"/>
              <w:left w:val="nil"/>
              <w:bottom w:val="single" w:sz="4" w:space="0" w:color="auto"/>
              <w:right w:val="single" w:sz="4" w:space="0" w:color="auto"/>
            </w:tcBorders>
            <w:shd w:val="clear" w:color="auto" w:fill="auto"/>
            <w:noWrap/>
            <w:vAlign w:val="bottom"/>
            <w:hideMark/>
          </w:tcPr>
          <w:p w14:paraId="33CBCB8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c>
          <w:tcPr>
            <w:tcW w:w="700" w:type="dxa"/>
            <w:tcBorders>
              <w:top w:val="nil"/>
              <w:left w:val="nil"/>
              <w:bottom w:val="single" w:sz="4" w:space="0" w:color="auto"/>
              <w:right w:val="single" w:sz="4" w:space="0" w:color="auto"/>
            </w:tcBorders>
            <w:shd w:val="clear" w:color="auto" w:fill="auto"/>
            <w:noWrap/>
            <w:vAlign w:val="bottom"/>
            <w:hideMark/>
          </w:tcPr>
          <w:p w14:paraId="2C4CC59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845759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14:paraId="3BBC269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C219D2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096349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14:paraId="4D6C356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w:t>
            </w:r>
          </w:p>
        </w:tc>
      </w:tr>
      <w:tr w:rsidR="004F1CEA" w:rsidRPr="004F1CEA" w14:paraId="7E55918B"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91466E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Swall Meadows</w:t>
            </w:r>
          </w:p>
        </w:tc>
        <w:tc>
          <w:tcPr>
            <w:tcW w:w="960" w:type="dxa"/>
            <w:tcBorders>
              <w:top w:val="nil"/>
              <w:left w:val="nil"/>
              <w:bottom w:val="single" w:sz="4" w:space="0" w:color="auto"/>
              <w:right w:val="single" w:sz="4" w:space="0" w:color="auto"/>
            </w:tcBorders>
            <w:shd w:val="clear" w:color="auto" w:fill="auto"/>
            <w:noWrap/>
            <w:vAlign w:val="bottom"/>
            <w:hideMark/>
          </w:tcPr>
          <w:p w14:paraId="4EBB855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220</w:t>
            </w:r>
          </w:p>
        </w:tc>
        <w:tc>
          <w:tcPr>
            <w:tcW w:w="800" w:type="dxa"/>
            <w:tcBorders>
              <w:top w:val="nil"/>
              <w:left w:val="nil"/>
              <w:bottom w:val="single" w:sz="4" w:space="0" w:color="auto"/>
              <w:right w:val="single" w:sz="4" w:space="0" w:color="auto"/>
            </w:tcBorders>
            <w:shd w:val="clear" w:color="auto" w:fill="auto"/>
            <w:noWrap/>
            <w:vAlign w:val="bottom"/>
            <w:hideMark/>
          </w:tcPr>
          <w:p w14:paraId="0AF7AFB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196</w:t>
            </w:r>
          </w:p>
        </w:tc>
        <w:tc>
          <w:tcPr>
            <w:tcW w:w="760" w:type="dxa"/>
            <w:tcBorders>
              <w:top w:val="nil"/>
              <w:left w:val="nil"/>
              <w:bottom w:val="single" w:sz="4" w:space="0" w:color="auto"/>
              <w:right w:val="single" w:sz="4" w:space="0" w:color="auto"/>
            </w:tcBorders>
            <w:shd w:val="clear" w:color="auto" w:fill="auto"/>
            <w:noWrap/>
            <w:vAlign w:val="bottom"/>
            <w:hideMark/>
          </w:tcPr>
          <w:p w14:paraId="5B1C565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w:t>
            </w:r>
          </w:p>
        </w:tc>
        <w:tc>
          <w:tcPr>
            <w:tcW w:w="700" w:type="dxa"/>
            <w:tcBorders>
              <w:top w:val="nil"/>
              <w:left w:val="nil"/>
              <w:bottom w:val="single" w:sz="4" w:space="0" w:color="auto"/>
              <w:right w:val="single" w:sz="4" w:space="0" w:color="auto"/>
            </w:tcBorders>
            <w:shd w:val="clear" w:color="auto" w:fill="auto"/>
            <w:noWrap/>
            <w:vAlign w:val="bottom"/>
            <w:hideMark/>
          </w:tcPr>
          <w:p w14:paraId="6929528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714FAF6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20" w:type="dxa"/>
            <w:tcBorders>
              <w:top w:val="nil"/>
              <w:left w:val="nil"/>
              <w:bottom w:val="single" w:sz="4" w:space="0" w:color="auto"/>
              <w:right w:val="single" w:sz="4" w:space="0" w:color="auto"/>
            </w:tcBorders>
            <w:shd w:val="clear" w:color="auto" w:fill="auto"/>
            <w:noWrap/>
            <w:vAlign w:val="bottom"/>
            <w:hideMark/>
          </w:tcPr>
          <w:p w14:paraId="1907E7C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5F5327A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424857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5820D34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w:t>
            </w:r>
          </w:p>
        </w:tc>
      </w:tr>
      <w:tr w:rsidR="004F1CEA" w:rsidRPr="004F1CEA" w14:paraId="5C835ECF"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3BD8A64"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Sunny Slopes</w:t>
            </w:r>
          </w:p>
        </w:tc>
        <w:tc>
          <w:tcPr>
            <w:tcW w:w="960" w:type="dxa"/>
            <w:tcBorders>
              <w:top w:val="nil"/>
              <w:left w:val="nil"/>
              <w:bottom w:val="single" w:sz="4" w:space="0" w:color="auto"/>
              <w:right w:val="single" w:sz="4" w:space="0" w:color="auto"/>
            </w:tcBorders>
            <w:shd w:val="clear" w:color="auto" w:fill="auto"/>
            <w:noWrap/>
            <w:vAlign w:val="bottom"/>
            <w:hideMark/>
          </w:tcPr>
          <w:p w14:paraId="0972F2C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182</w:t>
            </w:r>
          </w:p>
        </w:tc>
        <w:tc>
          <w:tcPr>
            <w:tcW w:w="800" w:type="dxa"/>
            <w:tcBorders>
              <w:top w:val="nil"/>
              <w:left w:val="nil"/>
              <w:bottom w:val="single" w:sz="4" w:space="0" w:color="auto"/>
              <w:right w:val="single" w:sz="4" w:space="0" w:color="auto"/>
            </w:tcBorders>
            <w:shd w:val="clear" w:color="auto" w:fill="auto"/>
            <w:noWrap/>
            <w:vAlign w:val="bottom"/>
            <w:hideMark/>
          </w:tcPr>
          <w:p w14:paraId="19D8649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158</w:t>
            </w:r>
          </w:p>
        </w:tc>
        <w:tc>
          <w:tcPr>
            <w:tcW w:w="760" w:type="dxa"/>
            <w:tcBorders>
              <w:top w:val="nil"/>
              <w:left w:val="nil"/>
              <w:bottom w:val="single" w:sz="4" w:space="0" w:color="auto"/>
              <w:right w:val="single" w:sz="4" w:space="0" w:color="auto"/>
            </w:tcBorders>
            <w:shd w:val="clear" w:color="auto" w:fill="auto"/>
            <w:noWrap/>
            <w:vAlign w:val="bottom"/>
            <w:hideMark/>
          </w:tcPr>
          <w:p w14:paraId="1D985D8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w:t>
            </w:r>
          </w:p>
        </w:tc>
        <w:tc>
          <w:tcPr>
            <w:tcW w:w="700" w:type="dxa"/>
            <w:tcBorders>
              <w:top w:val="nil"/>
              <w:left w:val="nil"/>
              <w:bottom w:val="single" w:sz="4" w:space="0" w:color="auto"/>
              <w:right w:val="single" w:sz="4" w:space="0" w:color="auto"/>
            </w:tcBorders>
            <w:shd w:val="clear" w:color="auto" w:fill="auto"/>
            <w:noWrap/>
            <w:vAlign w:val="bottom"/>
            <w:hideMark/>
          </w:tcPr>
          <w:p w14:paraId="79481DD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60" w:type="dxa"/>
            <w:tcBorders>
              <w:top w:val="nil"/>
              <w:left w:val="nil"/>
              <w:bottom w:val="single" w:sz="4" w:space="0" w:color="auto"/>
              <w:right w:val="single" w:sz="4" w:space="0" w:color="auto"/>
            </w:tcBorders>
            <w:shd w:val="clear" w:color="auto" w:fill="auto"/>
            <w:noWrap/>
            <w:vAlign w:val="bottom"/>
            <w:hideMark/>
          </w:tcPr>
          <w:p w14:paraId="5EADA43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w:t>
            </w:r>
          </w:p>
        </w:tc>
        <w:tc>
          <w:tcPr>
            <w:tcW w:w="620" w:type="dxa"/>
            <w:tcBorders>
              <w:top w:val="nil"/>
              <w:left w:val="nil"/>
              <w:bottom w:val="single" w:sz="4" w:space="0" w:color="auto"/>
              <w:right w:val="single" w:sz="4" w:space="0" w:color="auto"/>
            </w:tcBorders>
            <w:shd w:val="clear" w:color="auto" w:fill="auto"/>
            <w:noWrap/>
            <w:vAlign w:val="bottom"/>
            <w:hideMark/>
          </w:tcPr>
          <w:p w14:paraId="468277A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634093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w:t>
            </w:r>
          </w:p>
        </w:tc>
        <w:tc>
          <w:tcPr>
            <w:tcW w:w="660" w:type="dxa"/>
            <w:tcBorders>
              <w:top w:val="nil"/>
              <w:left w:val="nil"/>
              <w:bottom w:val="single" w:sz="4" w:space="0" w:color="auto"/>
              <w:right w:val="single" w:sz="4" w:space="0" w:color="auto"/>
            </w:tcBorders>
            <w:shd w:val="clear" w:color="auto" w:fill="auto"/>
            <w:noWrap/>
            <w:vAlign w:val="bottom"/>
            <w:hideMark/>
          </w:tcPr>
          <w:p w14:paraId="6551955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05DBCE3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w:t>
            </w:r>
          </w:p>
        </w:tc>
      </w:tr>
      <w:tr w:rsidR="004F1CEA" w:rsidRPr="004F1CEA" w14:paraId="29093653"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6D91FF0" w14:textId="77777777" w:rsidR="004F1CEA" w:rsidRPr="004F1CEA" w:rsidRDefault="00022FE4" w:rsidP="004F1CEA">
            <w:pPr>
              <w:spacing w:after="0" w:line="240" w:lineRule="auto"/>
              <w:rPr>
                <w:rFonts w:eastAsia="Times New Roman" w:cs="Times New Roman"/>
                <w:color w:val="000000"/>
              </w:rPr>
            </w:pPr>
            <w:r>
              <w:rPr>
                <w:rFonts w:eastAsia="Times New Roman" w:cs="Times New Roman"/>
                <w:color w:val="000000"/>
              </w:rPr>
              <w:t>Asp</w:t>
            </w:r>
            <w:r w:rsidR="004F1CEA" w:rsidRPr="004F1CEA">
              <w:rPr>
                <w:rFonts w:eastAsia="Times New Roman" w:cs="Times New Roman"/>
                <w:color w:val="000000"/>
              </w:rPr>
              <w:t>en Springs</w:t>
            </w:r>
          </w:p>
        </w:tc>
        <w:tc>
          <w:tcPr>
            <w:tcW w:w="960" w:type="dxa"/>
            <w:tcBorders>
              <w:top w:val="nil"/>
              <w:left w:val="nil"/>
              <w:bottom w:val="single" w:sz="4" w:space="0" w:color="auto"/>
              <w:right w:val="single" w:sz="4" w:space="0" w:color="auto"/>
            </w:tcBorders>
            <w:shd w:val="clear" w:color="auto" w:fill="auto"/>
            <w:noWrap/>
            <w:vAlign w:val="bottom"/>
            <w:hideMark/>
          </w:tcPr>
          <w:p w14:paraId="42AB13E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w:t>
            </w:r>
          </w:p>
        </w:tc>
        <w:tc>
          <w:tcPr>
            <w:tcW w:w="800" w:type="dxa"/>
            <w:tcBorders>
              <w:top w:val="nil"/>
              <w:left w:val="nil"/>
              <w:bottom w:val="single" w:sz="4" w:space="0" w:color="auto"/>
              <w:right w:val="single" w:sz="4" w:space="0" w:color="auto"/>
            </w:tcBorders>
            <w:shd w:val="clear" w:color="auto" w:fill="auto"/>
            <w:noWrap/>
            <w:vAlign w:val="bottom"/>
            <w:hideMark/>
          </w:tcPr>
          <w:p w14:paraId="3826627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61</w:t>
            </w:r>
          </w:p>
        </w:tc>
        <w:tc>
          <w:tcPr>
            <w:tcW w:w="760" w:type="dxa"/>
            <w:tcBorders>
              <w:top w:val="nil"/>
              <w:left w:val="nil"/>
              <w:bottom w:val="single" w:sz="4" w:space="0" w:color="auto"/>
              <w:right w:val="single" w:sz="4" w:space="0" w:color="auto"/>
            </w:tcBorders>
            <w:shd w:val="clear" w:color="auto" w:fill="auto"/>
            <w:noWrap/>
            <w:vAlign w:val="bottom"/>
            <w:hideMark/>
          </w:tcPr>
          <w:p w14:paraId="339C9D9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14:paraId="1A56775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22CCAA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0B681DA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4472CA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2987B82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56AF958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r>
      <w:tr w:rsidR="004F1CEA" w:rsidRPr="004F1CEA" w14:paraId="57E44A48"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175E61E"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Crowley Lake</w:t>
            </w:r>
          </w:p>
        </w:tc>
        <w:tc>
          <w:tcPr>
            <w:tcW w:w="960" w:type="dxa"/>
            <w:tcBorders>
              <w:top w:val="nil"/>
              <w:left w:val="nil"/>
              <w:bottom w:val="single" w:sz="4" w:space="0" w:color="auto"/>
              <w:right w:val="single" w:sz="4" w:space="0" w:color="auto"/>
            </w:tcBorders>
            <w:shd w:val="clear" w:color="auto" w:fill="auto"/>
            <w:noWrap/>
            <w:vAlign w:val="bottom"/>
            <w:hideMark/>
          </w:tcPr>
          <w:p w14:paraId="0309F02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875</w:t>
            </w:r>
          </w:p>
        </w:tc>
        <w:tc>
          <w:tcPr>
            <w:tcW w:w="800" w:type="dxa"/>
            <w:tcBorders>
              <w:top w:val="nil"/>
              <w:left w:val="nil"/>
              <w:bottom w:val="single" w:sz="4" w:space="0" w:color="auto"/>
              <w:right w:val="single" w:sz="4" w:space="0" w:color="auto"/>
            </w:tcBorders>
            <w:shd w:val="clear" w:color="auto" w:fill="auto"/>
            <w:noWrap/>
            <w:vAlign w:val="bottom"/>
            <w:hideMark/>
          </w:tcPr>
          <w:p w14:paraId="2F4FE20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706</w:t>
            </w:r>
          </w:p>
        </w:tc>
        <w:tc>
          <w:tcPr>
            <w:tcW w:w="760" w:type="dxa"/>
            <w:tcBorders>
              <w:top w:val="nil"/>
              <w:left w:val="nil"/>
              <w:bottom w:val="single" w:sz="4" w:space="0" w:color="auto"/>
              <w:right w:val="single" w:sz="4" w:space="0" w:color="auto"/>
            </w:tcBorders>
            <w:shd w:val="clear" w:color="auto" w:fill="auto"/>
            <w:noWrap/>
            <w:vAlign w:val="bottom"/>
            <w:hideMark/>
          </w:tcPr>
          <w:p w14:paraId="269F5E7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128</w:t>
            </w:r>
          </w:p>
        </w:tc>
        <w:tc>
          <w:tcPr>
            <w:tcW w:w="700" w:type="dxa"/>
            <w:tcBorders>
              <w:top w:val="nil"/>
              <w:left w:val="nil"/>
              <w:bottom w:val="single" w:sz="4" w:space="0" w:color="auto"/>
              <w:right w:val="single" w:sz="4" w:space="0" w:color="auto"/>
            </w:tcBorders>
            <w:shd w:val="clear" w:color="auto" w:fill="auto"/>
            <w:noWrap/>
            <w:vAlign w:val="bottom"/>
            <w:hideMark/>
          </w:tcPr>
          <w:p w14:paraId="4AF8F5D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60" w:type="dxa"/>
            <w:tcBorders>
              <w:top w:val="nil"/>
              <w:left w:val="nil"/>
              <w:bottom w:val="single" w:sz="4" w:space="0" w:color="auto"/>
              <w:right w:val="single" w:sz="4" w:space="0" w:color="auto"/>
            </w:tcBorders>
            <w:shd w:val="clear" w:color="auto" w:fill="auto"/>
            <w:noWrap/>
            <w:vAlign w:val="bottom"/>
            <w:hideMark/>
          </w:tcPr>
          <w:p w14:paraId="4BFC32C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620" w:type="dxa"/>
            <w:tcBorders>
              <w:top w:val="nil"/>
              <w:left w:val="nil"/>
              <w:bottom w:val="single" w:sz="4" w:space="0" w:color="auto"/>
              <w:right w:val="single" w:sz="4" w:space="0" w:color="auto"/>
            </w:tcBorders>
            <w:shd w:val="clear" w:color="auto" w:fill="auto"/>
            <w:noWrap/>
            <w:vAlign w:val="bottom"/>
            <w:hideMark/>
          </w:tcPr>
          <w:p w14:paraId="253548A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w:t>
            </w:r>
          </w:p>
        </w:tc>
        <w:tc>
          <w:tcPr>
            <w:tcW w:w="520" w:type="dxa"/>
            <w:tcBorders>
              <w:top w:val="nil"/>
              <w:left w:val="nil"/>
              <w:bottom w:val="single" w:sz="4" w:space="0" w:color="auto"/>
              <w:right w:val="single" w:sz="4" w:space="0" w:color="auto"/>
            </w:tcBorders>
            <w:shd w:val="clear" w:color="auto" w:fill="auto"/>
            <w:noWrap/>
            <w:vAlign w:val="bottom"/>
            <w:hideMark/>
          </w:tcPr>
          <w:p w14:paraId="082FE26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00DD08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14:paraId="1D04B01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r>
      <w:tr w:rsidR="004F1CEA" w:rsidRPr="004F1CEA" w14:paraId="720699E4"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C02838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McGee Creek</w:t>
            </w:r>
          </w:p>
        </w:tc>
        <w:tc>
          <w:tcPr>
            <w:tcW w:w="960" w:type="dxa"/>
            <w:tcBorders>
              <w:top w:val="nil"/>
              <w:left w:val="nil"/>
              <w:bottom w:val="single" w:sz="4" w:space="0" w:color="auto"/>
              <w:right w:val="single" w:sz="4" w:space="0" w:color="auto"/>
            </w:tcBorders>
            <w:shd w:val="clear" w:color="auto" w:fill="auto"/>
            <w:noWrap/>
            <w:vAlign w:val="bottom"/>
            <w:hideMark/>
          </w:tcPr>
          <w:p w14:paraId="377C7D9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w:t>
            </w:r>
          </w:p>
        </w:tc>
        <w:tc>
          <w:tcPr>
            <w:tcW w:w="800" w:type="dxa"/>
            <w:tcBorders>
              <w:top w:val="nil"/>
              <w:left w:val="nil"/>
              <w:bottom w:val="single" w:sz="4" w:space="0" w:color="auto"/>
              <w:right w:val="single" w:sz="4" w:space="0" w:color="auto"/>
            </w:tcBorders>
            <w:shd w:val="clear" w:color="auto" w:fill="auto"/>
            <w:noWrap/>
            <w:vAlign w:val="bottom"/>
            <w:hideMark/>
          </w:tcPr>
          <w:p w14:paraId="3DEA5EC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39</w:t>
            </w:r>
          </w:p>
        </w:tc>
        <w:tc>
          <w:tcPr>
            <w:tcW w:w="760" w:type="dxa"/>
            <w:tcBorders>
              <w:top w:val="nil"/>
              <w:left w:val="nil"/>
              <w:bottom w:val="single" w:sz="4" w:space="0" w:color="auto"/>
              <w:right w:val="single" w:sz="4" w:space="0" w:color="auto"/>
            </w:tcBorders>
            <w:shd w:val="clear" w:color="auto" w:fill="auto"/>
            <w:noWrap/>
            <w:vAlign w:val="bottom"/>
            <w:hideMark/>
          </w:tcPr>
          <w:p w14:paraId="63429AC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700" w:type="dxa"/>
            <w:tcBorders>
              <w:top w:val="nil"/>
              <w:left w:val="nil"/>
              <w:bottom w:val="single" w:sz="4" w:space="0" w:color="auto"/>
              <w:right w:val="single" w:sz="4" w:space="0" w:color="auto"/>
            </w:tcBorders>
            <w:shd w:val="clear" w:color="auto" w:fill="auto"/>
            <w:noWrap/>
            <w:vAlign w:val="bottom"/>
            <w:hideMark/>
          </w:tcPr>
          <w:p w14:paraId="0D37F39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3688F65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3F60606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F5FD4C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4A72529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1ED87B8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r>
      <w:tr w:rsidR="004F1CEA" w:rsidRPr="004F1CEA" w14:paraId="28424B05"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24AA91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June Lake</w:t>
            </w:r>
          </w:p>
        </w:tc>
        <w:tc>
          <w:tcPr>
            <w:tcW w:w="960" w:type="dxa"/>
            <w:tcBorders>
              <w:top w:val="nil"/>
              <w:left w:val="nil"/>
              <w:bottom w:val="single" w:sz="4" w:space="0" w:color="auto"/>
              <w:right w:val="single" w:sz="4" w:space="0" w:color="auto"/>
            </w:tcBorders>
            <w:shd w:val="clear" w:color="auto" w:fill="auto"/>
            <w:noWrap/>
            <w:vAlign w:val="bottom"/>
            <w:hideMark/>
          </w:tcPr>
          <w:p w14:paraId="05462C3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629</w:t>
            </w:r>
          </w:p>
        </w:tc>
        <w:tc>
          <w:tcPr>
            <w:tcW w:w="800" w:type="dxa"/>
            <w:tcBorders>
              <w:top w:val="nil"/>
              <w:left w:val="nil"/>
              <w:bottom w:val="single" w:sz="4" w:space="0" w:color="auto"/>
              <w:right w:val="single" w:sz="4" w:space="0" w:color="auto"/>
            </w:tcBorders>
            <w:shd w:val="clear" w:color="auto" w:fill="auto"/>
            <w:noWrap/>
            <w:vAlign w:val="bottom"/>
            <w:hideMark/>
          </w:tcPr>
          <w:p w14:paraId="701B887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476</w:t>
            </w:r>
          </w:p>
        </w:tc>
        <w:tc>
          <w:tcPr>
            <w:tcW w:w="760" w:type="dxa"/>
            <w:tcBorders>
              <w:top w:val="nil"/>
              <w:left w:val="nil"/>
              <w:bottom w:val="single" w:sz="4" w:space="0" w:color="auto"/>
              <w:right w:val="single" w:sz="4" w:space="0" w:color="auto"/>
            </w:tcBorders>
            <w:shd w:val="clear" w:color="auto" w:fill="auto"/>
            <w:noWrap/>
            <w:vAlign w:val="bottom"/>
            <w:hideMark/>
          </w:tcPr>
          <w:p w14:paraId="6B4FDE9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137</w:t>
            </w:r>
          </w:p>
        </w:tc>
        <w:tc>
          <w:tcPr>
            <w:tcW w:w="700" w:type="dxa"/>
            <w:tcBorders>
              <w:top w:val="nil"/>
              <w:left w:val="nil"/>
              <w:bottom w:val="single" w:sz="4" w:space="0" w:color="auto"/>
              <w:right w:val="single" w:sz="4" w:space="0" w:color="auto"/>
            </w:tcBorders>
            <w:shd w:val="clear" w:color="auto" w:fill="auto"/>
            <w:noWrap/>
            <w:vAlign w:val="bottom"/>
            <w:hideMark/>
          </w:tcPr>
          <w:p w14:paraId="721B4AF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w:t>
            </w:r>
          </w:p>
        </w:tc>
        <w:tc>
          <w:tcPr>
            <w:tcW w:w="660" w:type="dxa"/>
            <w:tcBorders>
              <w:top w:val="nil"/>
              <w:left w:val="nil"/>
              <w:bottom w:val="single" w:sz="4" w:space="0" w:color="auto"/>
              <w:right w:val="single" w:sz="4" w:space="0" w:color="auto"/>
            </w:tcBorders>
            <w:shd w:val="clear" w:color="auto" w:fill="auto"/>
            <w:noWrap/>
            <w:vAlign w:val="bottom"/>
            <w:hideMark/>
          </w:tcPr>
          <w:p w14:paraId="1C17557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4636CCE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3F5FEB3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5DCED43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62B0809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w:t>
            </w:r>
          </w:p>
        </w:tc>
      </w:tr>
      <w:tr w:rsidR="004F1CEA" w:rsidRPr="004F1CEA" w14:paraId="2D9D6958"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244C5B4"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Lee Vining</w:t>
            </w:r>
          </w:p>
        </w:tc>
        <w:tc>
          <w:tcPr>
            <w:tcW w:w="960" w:type="dxa"/>
            <w:tcBorders>
              <w:top w:val="nil"/>
              <w:left w:val="nil"/>
              <w:bottom w:val="single" w:sz="4" w:space="0" w:color="auto"/>
              <w:right w:val="single" w:sz="4" w:space="0" w:color="auto"/>
            </w:tcBorders>
            <w:shd w:val="clear" w:color="auto" w:fill="auto"/>
            <w:noWrap/>
            <w:vAlign w:val="bottom"/>
            <w:hideMark/>
          </w:tcPr>
          <w:p w14:paraId="7361376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222</w:t>
            </w:r>
          </w:p>
        </w:tc>
        <w:tc>
          <w:tcPr>
            <w:tcW w:w="800" w:type="dxa"/>
            <w:tcBorders>
              <w:top w:val="nil"/>
              <w:left w:val="nil"/>
              <w:bottom w:val="single" w:sz="4" w:space="0" w:color="auto"/>
              <w:right w:val="single" w:sz="4" w:space="0" w:color="auto"/>
            </w:tcBorders>
            <w:shd w:val="clear" w:color="auto" w:fill="auto"/>
            <w:noWrap/>
            <w:vAlign w:val="bottom"/>
            <w:hideMark/>
          </w:tcPr>
          <w:p w14:paraId="73980A7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107</w:t>
            </w:r>
          </w:p>
        </w:tc>
        <w:tc>
          <w:tcPr>
            <w:tcW w:w="760" w:type="dxa"/>
            <w:tcBorders>
              <w:top w:val="nil"/>
              <w:left w:val="nil"/>
              <w:bottom w:val="single" w:sz="4" w:space="0" w:color="auto"/>
              <w:right w:val="single" w:sz="4" w:space="0" w:color="auto"/>
            </w:tcBorders>
            <w:shd w:val="clear" w:color="auto" w:fill="auto"/>
            <w:noWrap/>
            <w:vAlign w:val="bottom"/>
            <w:hideMark/>
          </w:tcPr>
          <w:p w14:paraId="2AD5739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96</w:t>
            </w:r>
          </w:p>
        </w:tc>
        <w:tc>
          <w:tcPr>
            <w:tcW w:w="700" w:type="dxa"/>
            <w:tcBorders>
              <w:top w:val="nil"/>
              <w:left w:val="nil"/>
              <w:bottom w:val="single" w:sz="4" w:space="0" w:color="auto"/>
              <w:right w:val="single" w:sz="4" w:space="0" w:color="auto"/>
            </w:tcBorders>
            <w:shd w:val="clear" w:color="auto" w:fill="auto"/>
            <w:noWrap/>
            <w:vAlign w:val="bottom"/>
            <w:hideMark/>
          </w:tcPr>
          <w:p w14:paraId="59BFEF9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c>
          <w:tcPr>
            <w:tcW w:w="660" w:type="dxa"/>
            <w:tcBorders>
              <w:top w:val="nil"/>
              <w:left w:val="nil"/>
              <w:bottom w:val="single" w:sz="4" w:space="0" w:color="auto"/>
              <w:right w:val="single" w:sz="4" w:space="0" w:color="auto"/>
            </w:tcBorders>
            <w:shd w:val="clear" w:color="auto" w:fill="auto"/>
            <w:noWrap/>
            <w:vAlign w:val="bottom"/>
            <w:hideMark/>
          </w:tcPr>
          <w:p w14:paraId="3356A91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1EA1337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294035D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1F5E829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07C50D5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r>
      <w:tr w:rsidR="004F1CEA" w:rsidRPr="004F1CEA" w14:paraId="3D16A387"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ADF2B4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Mono City</w:t>
            </w:r>
          </w:p>
        </w:tc>
        <w:tc>
          <w:tcPr>
            <w:tcW w:w="960" w:type="dxa"/>
            <w:tcBorders>
              <w:top w:val="nil"/>
              <w:left w:val="nil"/>
              <w:bottom w:val="single" w:sz="4" w:space="0" w:color="auto"/>
              <w:right w:val="single" w:sz="4" w:space="0" w:color="auto"/>
            </w:tcBorders>
            <w:shd w:val="clear" w:color="auto" w:fill="auto"/>
            <w:noWrap/>
            <w:vAlign w:val="bottom"/>
            <w:hideMark/>
          </w:tcPr>
          <w:p w14:paraId="2E8C72F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172</w:t>
            </w:r>
          </w:p>
        </w:tc>
        <w:tc>
          <w:tcPr>
            <w:tcW w:w="800" w:type="dxa"/>
            <w:tcBorders>
              <w:top w:val="nil"/>
              <w:left w:val="nil"/>
              <w:bottom w:val="single" w:sz="4" w:space="0" w:color="auto"/>
              <w:right w:val="single" w:sz="4" w:space="0" w:color="auto"/>
            </w:tcBorders>
            <w:shd w:val="clear" w:color="auto" w:fill="auto"/>
            <w:noWrap/>
            <w:vAlign w:val="bottom"/>
            <w:hideMark/>
          </w:tcPr>
          <w:p w14:paraId="5D22AF8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128</w:t>
            </w:r>
          </w:p>
        </w:tc>
        <w:tc>
          <w:tcPr>
            <w:tcW w:w="760" w:type="dxa"/>
            <w:tcBorders>
              <w:top w:val="nil"/>
              <w:left w:val="nil"/>
              <w:bottom w:val="single" w:sz="4" w:space="0" w:color="auto"/>
              <w:right w:val="single" w:sz="4" w:space="0" w:color="auto"/>
            </w:tcBorders>
            <w:shd w:val="clear" w:color="auto" w:fill="auto"/>
            <w:noWrap/>
            <w:vAlign w:val="bottom"/>
            <w:hideMark/>
          </w:tcPr>
          <w:p w14:paraId="16B5241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37</w:t>
            </w:r>
          </w:p>
        </w:tc>
        <w:tc>
          <w:tcPr>
            <w:tcW w:w="700" w:type="dxa"/>
            <w:tcBorders>
              <w:top w:val="nil"/>
              <w:left w:val="nil"/>
              <w:bottom w:val="single" w:sz="4" w:space="0" w:color="auto"/>
              <w:right w:val="single" w:sz="4" w:space="0" w:color="auto"/>
            </w:tcBorders>
            <w:shd w:val="clear" w:color="auto" w:fill="auto"/>
            <w:noWrap/>
            <w:vAlign w:val="bottom"/>
            <w:hideMark/>
          </w:tcPr>
          <w:p w14:paraId="3E37445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946060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3E62833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6450260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1CEAC1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20AD8D6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w:t>
            </w:r>
          </w:p>
        </w:tc>
      </w:tr>
      <w:tr w:rsidR="004F1CEA" w:rsidRPr="004F1CEA" w14:paraId="056E75C3"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88C363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Bridgeport</w:t>
            </w:r>
          </w:p>
        </w:tc>
        <w:tc>
          <w:tcPr>
            <w:tcW w:w="960" w:type="dxa"/>
            <w:tcBorders>
              <w:top w:val="nil"/>
              <w:left w:val="nil"/>
              <w:bottom w:val="single" w:sz="4" w:space="0" w:color="auto"/>
              <w:right w:val="single" w:sz="4" w:space="0" w:color="auto"/>
            </w:tcBorders>
            <w:shd w:val="clear" w:color="auto" w:fill="auto"/>
            <w:noWrap/>
            <w:vAlign w:val="bottom"/>
            <w:hideMark/>
          </w:tcPr>
          <w:p w14:paraId="2609342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575</w:t>
            </w:r>
          </w:p>
        </w:tc>
        <w:tc>
          <w:tcPr>
            <w:tcW w:w="800" w:type="dxa"/>
            <w:tcBorders>
              <w:top w:val="nil"/>
              <w:left w:val="nil"/>
              <w:bottom w:val="single" w:sz="4" w:space="0" w:color="auto"/>
              <w:right w:val="single" w:sz="4" w:space="0" w:color="auto"/>
            </w:tcBorders>
            <w:shd w:val="clear" w:color="auto" w:fill="auto"/>
            <w:noWrap/>
            <w:vAlign w:val="bottom"/>
            <w:hideMark/>
          </w:tcPr>
          <w:p w14:paraId="4A2270E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370</w:t>
            </w:r>
          </w:p>
        </w:tc>
        <w:tc>
          <w:tcPr>
            <w:tcW w:w="760" w:type="dxa"/>
            <w:tcBorders>
              <w:top w:val="nil"/>
              <w:left w:val="nil"/>
              <w:bottom w:val="single" w:sz="4" w:space="0" w:color="auto"/>
              <w:right w:val="single" w:sz="4" w:space="0" w:color="auto"/>
            </w:tcBorders>
            <w:shd w:val="clear" w:color="auto" w:fill="auto"/>
            <w:noWrap/>
            <w:vAlign w:val="bottom"/>
            <w:hideMark/>
          </w:tcPr>
          <w:p w14:paraId="2652BC6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148</w:t>
            </w:r>
          </w:p>
        </w:tc>
        <w:tc>
          <w:tcPr>
            <w:tcW w:w="700" w:type="dxa"/>
            <w:tcBorders>
              <w:top w:val="nil"/>
              <w:left w:val="nil"/>
              <w:bottom w:val="single" w:sz="4" w:space="0" w:color="auto"/>
              <w:right w:val="single" w:sz="4" w:space="0" w:color="auto"/>
            </w:tcBorders>
            <w:shd w:val="clear" w:color="auto" w:fill="auto"/>
            <w:noWrap/>
            <w:vAlign w:val="bottom"/>
            <w:hideMark/>
          </w:tcPr>
          <w:p w14:paraId="4F130E9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40</w:t>
            </w:r>
          </w:p>
        </w:tc>
        <w:tc>
          <w:tcPr>
            <w:tcW w:w="660" w:type="dxa"/>
            <w:tcBorders>
              <w:top w:val="nil"/>
              <w:left w:val="nil"/>
              <w:bottom w:val="single" w:sz="4" w:space="0" w:color="auto"/>
              <w:right w:val="single" w:sz="4" w:space="0" w:color="auto"/>
            </w:tcBorders>
            <w:shd w:val="clear" w:color="auto" w:fill="auto"/>
            <w:noWrap/>
            <w:vAlign w:val="bottom"/>
            <w:hideMark/>
          </w:tcPr>
          <w:p w14:paraId="2922A54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312B24A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520" w:type="dxa"/>
            <w:tcBorders>
              <w:top w:val="nil"/>
              <w:left w:val="nil"/>
              <w:bottom w:val="single" w:sz="4" w:space="0" w:color="auto"/>
              <w:right w:val="single" w:sz="4" w:space="0" w:color="auto"/>
            </w:tcBorders>
            <w:shd w:val="clear" w:color="auto" w:fill="auto"/>
            <w:noWrap/>
            <w:vAlign w:val="bottom"/>
            <w:hideMark/>
          </w:tcPr>
          <w:p w14:paraId="5F2AEE2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0CFFC1F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4AC1BCA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r>
      <w:tr w:rsidR="004F1CEA" w:rsidRPr="004F1CEA" w14:paraId="423C16EB"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9A8645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Walker</w:t>
            </w:r>
          </w:p>
        </w:tc>
        <w:tc>
          <w:tcPr>
            <w:tcW w:w="960" w:type="dxa"/>
            <w:tcBorders>
              <w:top w:val="nil"/>
              <w:left w:val="nil"/>
              <w:bottom w:val="single" w:sz="4" w:space="0" w:color="auto"/>
              <w:right w:val="single" w:sz="4" w:space="0" w:color="auto"/>
            </w:tcBorders>
            <w:shd w:val="clear" w:color="auto" w:fill="auto"/>
            <w:noWrap/>
            <w:vAlign w:val="bottom"/>
            <w:hideMark/>
          </w:tcPr>
          <w:p w14:paraId="4C1D9D9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721</w:t>
            </w:r>
          </w:p>
        </w:tc>
        <w:tc>
          <w:tcPr>
            <w:tcW w:w="800" w:type="dxa"/>
            <w:tcBorders>
              <w:top w:val="nil"/>
              <w:left w:val="nil"/>
              <w:bottom w:val="single" w:sz="4" w:space="0" w:color="auto"/>
              <w:right w:val="single" w:sz="4" w:space="0" w:color="auto"/>
            </w:tcBorders>
            <w:shd w:val="clear" w:color="auto" w:fill="auto"/>
            <w:noWrap/>
            <w:vAlign w:val="bottom"/>
            <w:hideMark/>
          </w:tcPr>
          <w:p w14:paraId="27348BB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581</w:t>
            </w:r>
          </w:p>
        </w:tc>
        <w:tc>
          <w:tcPr>
            <w:tcW w:w="760" w:type="dxa"/>
            <w:tcBorders>
              <w:top w:val="nil"/>
              <w:left w:val="nil"/>
              <w:bottom w:val="single" w:sz="4" w:space="0" w:color="auto"/>
              <w:right w:val="single" w:sz="4" w:space="0" w:color="auto"/>
            </w:tcBorders>
            <w:shd w:val="clear" w:color="auto" w:fill="auto"/>
            <w:noWrap/>
            <w:vAlign w:val="bottom"/>
            <w:hideMark/>
          </w:tcPr>
          <w:p w14:paraId="25E1CD9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70</w:t>
            </w:r>
          </w:p>
        </w:tc>
        <w:tc>
          <w:tcPr>
            <w:tcW w:w="700" w:type="dxa"/>
            <w:tcBorders>
              <w:top w:val="nil"/>
              <w:left w:val="nil"/>
              <w:bottom w:val="single" w:sz="4" w:space="0" w:color="auto"/>
              <w:right w:val="single" w:sz="4" w:space="0" w:color="auto"/>
            </w:tcBorders>
            <w:shd w:val="clear" w:color="auto" w:fill="auto"/>
            <w:noWrap/>
            <w:vAlign w:val="bottom"/>
            <w:hideMark/>
          </w:tcPr>
          <w:p w14:paraId="6299045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50</w:t>
            </w:r>
          </w:p>
        </w:tc>
        <w:tc>
          <w:tcPr>
            <w:tcW w:w="660" w:type="dxa"/>
            <w:tcBorders>
              <w:top w:val="nil"/>
              <w:left w:val="nil"/>
              <w:bottom w:val="single" w:sz="4" w:space="0" w:color="auto"/>
              <w:right w:val="single" w:sz="4" w:space="0" w:color="auto"/>
            </w:tcBorders>
            <w:shd w:val="clear" w:color="auto" w:fill="auto"/>
            <w:noWrap/>
            <w:vAlign w:val="bottom"/>
            <w:hideMark/>
          </w:tcPr>
          <w:p w14:paraId="2347E8A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18B4215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w:t>
            </w:r>
          </w:p>
        </w:tc>
        <w:tc>
          <w:tcPr>
            <w:tcW w:w="520" w:type="dxa"/>
            <w:tcBorders>
              <w:top w:val="nil"/>
              <w:left w:val="nil"/>
              <w:bottom w:val="single" w:sz="4" w:space="0" w:color="auto"/>
              <w:right w:val="single" w:sz="4" w:space="0" w:color="auto"/>
            </w:tcBorders>
            <w:shd w:val="clear" w:color="auto" w:fill="auto"/>
            <w:noWrap/>
            <w:vAlign w:val="bottom"/>
            <w:hideMark/>
          </w:tcPr>
          <w:p w14:paraId="51709B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67FAA4E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15964E0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r>
      <w:tr w:rsidR="004F1CEA" w:rsidRPr="004F1CEA" w14:paraId="05B63E11"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6480DF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Coleville</w:t>
            </w:r>
          </w:p>
        </w:tc>
        <w:tc>
          <w:tcPr>
            <w:tcW w:w="960" w:type="dxa"/>
            <w:tcBorders>
              <w:top w:val="nil"/>
              <w:left w:val="nil"/>
              <w:bottom w:val="single" w:sz="4" w:space="0" w:color="auto"/>
              <w:right w:val="single" w:sz="4" w:space="0" w:color="auto"/>
            </w:tcBorders>
            <w:shd w:val="clear" w:color="auto" w:fill="auto"/>
            <w:noWrap/>
            <w:vAlign w:val="bottom"/>
            <w:hideMark/>
          </w:tcPr>
          <w:p w14:paraId="654B7E7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495</w:t>
            </w:r>
          </w:p>
        </w:tc>
        <w:tc>
          <w:tcPr>
            <w:tcW w:w="800" w:type="dxa"/>
            <w:tcBorders>
              <w:top w:val="nil"/>
              <w:left w:val="nil"/>
              <w:bottom w:val="single" w:sz="4" w:space="0" w:color="auto"/>
              <w:right w:val="single" w:sz="4" w:space="0" w:color="auto"/>
            </w:tcBorders>
            <w:shd w:val="clear" w:color="auto" w:fill="auto"/>
            <w:noWrap/>
            <w:vAlign w:val="bottom"/>
            <w:hideMark/>
          </w:tcPr>
          <w:p w14:paraId="1C40542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347</w:t>
            </w:r>
          </w:p>
        </w:tc>
        <w:tc>
          <w:tcPr>
            <w:tcW w:w="760" w:type="dxa"/>
            <w:tcBorders>
              <w:top w:val="nil"/>
              <w:left w:val="nil"/>
              <w:bottom w:val="single" w:sz="4" w:space="0" w:color="auto"/>
              <w:right w:val="single" w:sz="4" w:space="0" w:color="auto"/>
            </w:tcBorders>
            <w:shd w:val="clear" w:color="auto" w:fill="auto"/>
            <w:noWrap/>
            <w:vAlign w:val="bottom"/>
            <w:hideMark/>
          </w:tcPr>
          <w:p w14:paraId="6AE8643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110</w:t>
            </w:r>
          </w:p>
        </w:tc>
        <w:tc>
          <w:tcPr>
            <w:tcW w:w="700" w:type="dxa"/>
            <w:tcBorders>
              <w:top w:val="nil"/>
              <w:left w:val="nil"/>
              <w:bottom w:val="single" w:sz="4" w:space="0" w:color="auto"/>
              <w:right w:val="single" w:sz="4" w:space="0" w:color="auto"/>
            </w:tcBorders>
            <w:shd w:val="clear" w:color="auto" w:fill="auto"/>
            <w:noWrap/>
            <w:vAlign w:val="bottom"/>
            <w:hideMark/>
          </w:tcPr>
          <w:p w14:paraId="7059268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w:t>
            </w:r>
          </w:p>
        </w:tc>
        <w:tc>
          <w:tcPr>
            <w:tcW w:w="660" w:type="dxa"/>
            <w:tcBorders>
              <w:top w:val="nil"/>
              <w:left w:val="nil"/>
              <w:bottom w:val="single" w:sz="4" w:space="0" w:color="auto"/>
              <w:right w:val="single" w:sz="4" w:space="0" w:color="auto"/>
            </w:tcBorders>
            <w:shd w:val="clear" w:color="auto" w:fill="auto"/>
            <w:noWrap/>
            <w:vAlign w:val="bottom"/>
            <w:hideMark/>
          </w:tcPr>
          <w:p w14:paraId="272740B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w:t>
            </w:r>
          </w:p>
        </w:tc>
        <w:tc>
          <w:tcPr>
            <w:tcW w:w="620" w:type="dxa"/>
            <w:tcBorders>
              <w:top w:val="nil"/>
              <w:left w:val="nil"/>
              <w:bottom w:val="single" w:sz="4" w:space="0" w:color="auto"/>
              <w:right w:val="single" w:sz="4" w:space="0" w:color="auto"/>
            </w:tcBorders>
            <w:shd w:val="clear" w:color="auto" w:fill="auto"/>
            <w:noWrap/>
            <w:vAlign w:val="bottom"/>
            <w:hideMark/>
          </w:tcPr>
          <w:p w14:paraId="27EB61B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w:t>
            </w:r>
          </w:p>
        </w:tc>
        <w:tc>
          <w:tcPr>
            <w:tcW w:w="520" w:type="dxa"/>
            <w:tcBorders>
              <w:top w:val="nil"/>
              <w:left w:val="nil"/>
              <w:bottom w:val="single" w:sz="4" w:space="0" w:color="auto"/>
              <w:right w:val="single" w:sz="4" w:space="0" w:color="auto"/>
            </w:tcBorders>
            <w:shd w:val="clear" w:color="auto" w:fill="auto"/>
            <w:noWrap/>
            <w:vAlign w:val="bottom"/>
            <w:hideMark/>
          </w:tcPr>
          <w:p w14:paraId="0C104EC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68ABAD1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1D1D3CE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r>
      <w:tr w:rsidR="004F1CEA" w:rsidRPr="004F1CEA" w14:paraId="4CBAC05A"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B77C4F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Topaz</w:t>
            </w:r>
          </w:p>
        </w:tc>
        <w:tc>
          <w:tcPr>
            <w:tcW w:w="960" w:type="dxa"/>
            <w:tcBorders>
              <w:top w:val="nil"/>
              <w:left w:val="nil"/>
              <w:bottom w:val="single" w:sz="4" w:space="0" w:color="auto"/>
              <w:right w:val="single" w:sz="4" w:space="0" w:color="auto"/>
            </w:tcBorders>
            <w:shd w:val="clear" w:color="auto" w:fill="auto"/>
            <w:noWrap/>
            <w:vAlign w:val="bottom"/>
            <w:hideMark/>
          </w:tcPr>
          <w:p w14:paraId="7CCC8A8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50</w:t>
            </w:r>
          </w:p>
        </w:tc>
        <w:tc>
          <w:tcPr>
            <w:tcW w:w="800" w:type="dxa"/>
            <w:tcBorders>
              <w:top w:val="nil"/>
              <w:left w:val="nil"/>
              <w:bottom w:val="single" w:sz="4" w:space="0" w:color="auto"/>
              <w:right w:val="single" w:sz="4" w:space="0" w:color="auto"/>
            </w:tcBorders>
            <w:shd w:val="clear" w:color="auto" w:fill="auto"/>
            <w:noWrap/>
            <w:vAlign w:val="bottom"/>
            <w:hideMark/>
          </w:tcPr>
          <w:p w14:paraId="4DEA4EF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w:t>
            </w:r>
          </w:p>
        </w:tc>
        <w:tc>
          <w:tcPr>
            <w:tcW w:w="760" w:type="dxa"/>
            <w:tcBorders>
              <w:top w:val="nil"/>
              <w:left w:val="nil"/>
              <w:bottom w:val="single" w:sz="4" w:space="0" w:color="auto"/>
              <w:right w:val="single" w:sz="4" w:space="0" w:color="auto"/>
            </w:tcBorders>
            <w:shd w:val="clear" w:color="auto" w:fill="auto"/>
            <w:noWrap/>
            <w:vAlign w:val="bottom"/>
            <w:hideMark/>
          </w:tcPr>
          <w:p w14:paraId="30E4BE0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24</w:t>
            </w:r>
          </w:p>
        </w:tc>
        <w:tc>
          <w:tcPr>
            <w:tcW w:w="700" w:type="dxa"/>
            <w:tcBorders>
              <w:top w:val="nil"/>
              <w:left w:val="nil"/>
              <w:bottom w:val="single" w:sz="4" w:space="0" w:color="auto"/>
              <w:right w:val="single" w:sz="4" w:space="0" w:color="auto"/>
            </w:tcBorders>
            <w:shd w:val="clear" w:color="auto" w:fill="auto"/>
            <w:noWrap/>
            <w:vAlign w:val="bottom"/>
            <w:hideMark/>
          </w:tcPr>
          <w:p w14:paraId="525B4AB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w:t>
            </w:r>
          </w:p>
        </w:tc>
        <w:tc>
          <w:tcPr>
            <w:tcW w:w="660" w:type="dxa"/>
            <w:tcBorders>
              <w:top w:val="nil"/>
              <w:left w:val="nil"/>
              <w:bottom w:val="single" w:sz="4" w:space="0" w:color="auto"/>
              <w:right w:val="single" w:sz="4" w:space="0" w:color="auto"/>
            </w:tcBorders>
            <w:shd w:val="clear" w:color="auto" w:fill="auto"/>
            <w:noWrap/>
            <w:vAlign w:val="bottom"/>
            <w:hideMark/>
          </w:tcPr>
          <w:p w14:paraId="134E3A7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3B25442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520" w:type="dxa"/>
            <w:tcBorders>
              <w:top w:val="nil"/>
              <w:left w:val="nil"/>
              <w:bottom w:val="single" w:sz="4" w:space="0" w:color="auto"/>
              <w:right w:val="single" w:sz="4" w:space="0" w:color="auto"/>
            </w:tcBorders>
            <w:shd w:val="clear" w:color="auto" w:fill="auto"/>
            <w:noWrap/>
            <w:vAlign w:val="bottom"/>
            <w:hideMark/>
          </w:tcPr>
          <w:p w14:paraId="1FB4D8C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60" w:type="dxa"/>
            <w:tcBorders>
              <w:top w:val="nil"/>
              <w:left w:val="nil"/>
              <w:bottom w:val="single" w:sz="4" w:space="0" w:color="auto"/>
              <w:right w:val="single" w:sz="4" w:space="0" w:color="auto"/>
            </w:tcBorders>
            <w:shd w:val="clear" w:color="auto" w:fill="auto"/>
            <w:noWrap/>
            <w:vAlign w:val="bottom"/>
            <w:hideMark/>
          </w:tcPr>
          <w:p w14:paraId="77EDE64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14:paraId="7CA7CEF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w:t>
            </w:r>
          </w:p>
        </w:tc>
      </w:tr>
      <w:tr w:rsidR="004F1CEA" w:rsidRPr="004F1CEA" w14:paraId="707B1330" w14:textId="77777777" w:rsidTr="004F1CEA">
        <w:trPr>
          <w:trHeight w:val="300"/>
        </w:trPr>
        <w:tc>
          <w:tcPr>
            <w:tcW w:w="2440" w:type="dxa"/>
            <w:tcBorders>
              <w:top w:val="nil"/>
              <w:left w:val="single" w:sz="4" w:space="0" w:color="auto"/>
              <w:bottom w:val="single" w:sz="4" w:space="0" w:color="auto"/>
              <w:right w:val="nil"/>
            </w:tcBorders>
            <w:shd w:val="clear" w:color="auto" w:fill="auto"/>
            <w:noWrap/>
            <w:vAlign w:val="bottom"/>
            <w:hideMark/>
          </w:tcPr>
          <w:p w14:paraId="33721D94"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14:paraId="3BE58B4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00" w:type="dxa"/>
            <w:tcBorders>
              <w:top w:val="nil"/>
              <w:left w:val="nil"/>
              <w:bottom w:val="single" w:sz="4" w:space="0" w:color="auto"/>
              <w:right w:val="nil"/>
            </w:tcBorders>
            <w:shd w:val="clear" w:color="auto" w:fill="auto"/>
            <w:noWrap/>
            <w:vAlign w:val="bottom"/>
            <w:hideMark/>
          </w:tcPr>
          <w:p w14:paraId="701D452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60" w:type="dxa"/>
            <w:tcBorders>
              <w:top w:val="nil"/>
              <w:left w:val="nil"/>
              <w:bottom w:val="single" w:sz="4" w:space="0" w:color="auto"/>
              <w:right w:val="nil"/>
            </w:tcBorders>
            <w:shd w:val="clear" w:color="auto" w:fill="auto"/>
            <w:noWrap/>
            <w:vAlign w:val="bottom"/>
            <w:hideMark/>
          </w:tcPr>
          <w:p w14:paraId="2DF3275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6438E86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7637BEC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14:paraId="539EEDE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520" w:type="dxa"/>
            <w:tcBorders>
              <w:top w:val="nil"/>
              <w:left w:val="nil"/>
              <w:bottom w:val="single" w:sz="4" w:space="0" w:color="auto"/>
              <w:right w:val="nil"/>
            </w:tcBorders>
            <w:shd w:val="clear" w:color="auto" w:fill="auto"/>
            <w:noWrap/>
            <w:vAlign w:val="bottom"/>
            <w:hideMark/>
          </w:tcPr>
          <w:p w14:paraId="131A6CE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77D0783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139FB1F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11FA2E6B" w14:textId="77777777" w:rsidTr="004F1CE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C9C1D1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of CDPs</w:t>
            </w:r>
          </w:p>
        </w:tc>
        <w:tc>
          <w:tcPr>
            <w:tcW w:w="960" w:type="dxa"/>
            <w:tcBorders>
              <w:top w:val="nil"/>
              <w:left w:val="nil"/>
              <w:bottom w:val="single" w:sz="4" w:space="0" w:color="auto"/>
              <w:right w:val="single" w:sz="4" w:space="0" w:color="auto"/>
            </w:tcBorders>
            <w:shd w:val="clear" w:color="auto" w:fill="auto"/>
            <w:noWrap/>
            <w:vAlign w:val="bottom"/>
            <w:hideMark/>
          </w:tcPr>
          <w:p w14:paraId="4C13B5C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5,331</w:t>
            </w:r>
          </w:p>
        </w:tc>
        <w:tc>
          <w:tcPr>
            <w:tcW w:w="800" w:type="dxa"/>
            <w:tcBorders>
              <w:top w:val="nil"/>
              <w:left w:val="nil"/>
              <w:bottom w:val="single" w:sz="4" w:space="0" w:color="auto"/>
              <w:right w:val="single" w:sz="4" w:space="0" w:color="auto"/>
            </w:tcBorders>
            <w:shd w:val="clear" w:color="auto" w:fill="auto"/>
            <w:noWrap/>
            <w:vAlign w:val="bottom"/>
            <w:hideMark/>
          </w:tcPr>
          <w:p w14:paraId="2B3120E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4,055</w:t>
            </w:r>
          </w:p>
        </w:tc>
        <w:tc>
          <w:tcPr>
            <w:tcW w:w="760" w:type="dxa"/>
            <w:tcBorders>
              <w:top w:val="nil"/>
              <w:left w:val="nil"/>
              <w:bottom w:val="single" w:sz="4" w:space="0" w:color="auto"/>
              <w:right w:val="single" w:sz="4" w:space="0" w:color="auto"/>
            </w:tcBorders>
            <w:shd w:val="clear" w:color="auto" w:fill="auto"/>
            <w:noWrap/>
            <w:vAlign w:val="bottom"/>
            <w:hideMark/>
          </w:tcPr>
          <w:p w14:paraId="16C9268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881</w:t>
            </w:r>
          </w:p>
        </w:tc>
        <w:tc>
          <w:tcPr>
            <w:tcW w:w="700" w:type="dxa"/>
            <w:tcBorders>
              <w:top w:val="nil"/>
              <w:left w:val="nil"/>
              <w:bottom w:val="single" w:sz="4" w:space="0" w:color="auto"/>
              <w:right w:val="single" w:sz="4" w:space="0" w:color="auto"/>
            </w:tcBorders>
            <w:shd w:val="clear" w:color="auto" w:fill="auto"/>
            <w:noWrap/>
            <w:vAlign w:val="bottom"/>
            <w:hideMark/>
          </w:tcPr>
          <w:p w14:paraId="3DD8ABC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192</w:t>
            </w:r>
          </w:p>
        </w:tc>
        <w:tc>
          <w:tcPr>
            <w:tcW w:w="660" w:type="dxa"/>
            <w:tcBorders>
              <w:top w:val="nil"/>
              <w:left w:val="nil"/>
              <w:bottom w:val="single" w:sz="4" w:space="0" w:color="auto"/>
              <w:right w:val="single" w:sz="4" w:space="0" w:color="auto"/>
            </w:tcBorders>
            <w:shd w:val="clear" w:color="auto" w:fill="auto"/>
            <w:noWrap/>
            <w:vAlign w:val="bottom"/>
            <w:hideMark/>
          </w:tcPr>
          <w:p w14:paraId="3C424F0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53</w:t>
            </w:r>
          </w:p>
        </w:tc>
        <w:tc>
          <w:tcPr>
            <w:tcW w:w="620" w:type="dxa"/>
            <w:tcBorders>
              <w:top w:val="nil"/>
              <w:left w:val="nil"/>
              <w:bottom w:val="single" w:sz="4" w:space="0" w:color="auto"/>
              <w:right w:val="single" w:sz="4" w:space="0" w:color="auto"/>
            </w:tcBorders>
            <w:shd w:val="clear" w:color="auto" w:fill="auto"/>
            <w:noWrap/>
            <w:vAlign w:val="bottom"/>
            <w:hideMark/>
          </w:tcPr>
          <w:p w14:paraId="56DF7F3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520" w:type="dxa"/>
            <w:tcBorders>
              <w:top w:val="nil"/>
              <w:left w:val="nil"/>
              <w:bottom w:val="single" w:sz="4" w:space="0" w:color="auto"/>
              <w:right w:val="single" w:sz="4" w:space="0" w:color="auto"/>
            </w:tcBorders>
            <w:shd w:val="clear" w:color="auto" w:fill="auto"/>
            <w:noWrap/>
            <w:vAlign w:val="bottom"/>
            <w:hideMark/>
          </w:tcPr>
          <w:p w14:paraId="571F29A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c>
          <w:tcPr>
            <w:tcW w:w="660" w:type="dxa"/>
            <w:tcBorders>
              <w:top w:val="nil"/>
              <w:left w:val="nil"/>
              <w:bottom w:val="single" w:sz="4" w:space="0" w:color="auto"/>
              <w:right w:val="single" w:sz="4" w:space="0" w:color="auto"/>
            </w:tcBorders>
            <w:shd w:val="clear" w:color="auto" w:fill="auto"/>
            <w:noWrap/>
            <w:vAlign w:val="bottom"/>
            <w:hideMark/>
          </w:tcPr>
          <w:p w14:paraId="618CF37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w:t>
            </w:r>
          </w:p>
        </w:tc>
        <w:tc>
          <w:tcPr>
            <w:tcW w:w="640" w:type="dxa"/>
            <w:tcBorders>
              <w:top w:val="nil"/>
              <w:left w:val="nil"/>
              <w:bottom w:val="single" w:sz="4" w:space="0" w:color="auto"/>
              <w:right w:val="single" w:sz="4" w:space="0" w:color="auto"/>
            </w:tcBorders>
            <w:shd w:val="clear" w:color="auto" w:fill="auto"/>
            <w:noWrap/>
            <w:vAlign w:val="bottom"/>
            <w:hideMark/>
          </w:tcPr>
          <w:p w14:paraId="7765A86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114</w:t>
            </w:r>
          </w:p>
        </w:tc>
      </w:tr>
    </w:tbl>
    <w:p w14:paraId="45D37EEF" w14:textId="77777777" w:rsidR="004F1CEA" w:rsidRDefault="004F1CEA" w:rsidP="00682AA1">
      <w:pPr>
        <w:spacing w:line="280" w:lineRule="atLeast"/>
        <w:jc w:val="both"/>
        <w:rPr>
          <w:b/>
        </w:rPr>
      </w:pPr>
    </w:p>
    <w:p w14:paraId="5DB97C47" w14:textId="77777777" w:rsidR="00682AA1" w:rsidRDefault="00682AA1" w:rsidP="00682AA1">
      <w:pPr>
        <w:tabs>
          <w:tab w:val="left" w:pos="360"/>
        </w:tabs>
        <w:spacing w:after="0" w:line="280" w:lineRule="atLeast"/>
        <w:jc w:val="both"/>
      </w:pPr>
      <w:r w:rsidRPr="00682AA1">
        <w:t>ETHNICITY</w:t>
      </w:r>
      <w:r w:rsidRPr="00682AA1">
        <w:fldChar w:fldCharType="begin"/>
      </w:r>
      <w:r w:rsidRPr="00682AA1">
        <w:instrText xml:space="preserve"> TC"</w:instrText>
      </w:r>
      <w:bookmarkStart w:id="32" w:name="_Toc53806435"/>
      <w:bookmarkStart w:id="33" w:name="_Toc66156027"/>
      <w:bookmarkStart w:id="34" w:name="_Toc76443947"/>
      <w:bookmarkStart w:id="35" w:name="_Toc123887084"/>
      <w:r w:rsidRPr="00682AA1">
        <w:instrText>Ethnicity</w:instrText>
      </w:r>
      <w:bookmarkEnd w:id="32"/>
      <w:bookmarkEnd w:id="33"/>
      <w:bookmarkEnd w:id="34"/>
      <w:bookmarkEnd w:id="35"/>
      <w:r w:rsidRPr="00682AA1">
        <w:instrText xml:space="preserve">"\l 3 </w:instrText>
      </w:r>
      <w:r w:rsidRPr="00682AA1">
        <w:fldChar w:fldCharType="end"/>
      </w:r>
    </w:p>
    <w:p w14:paraId="2FE18763" w14:textId="77777777" w:rsidR="00682AA1" w:rsidRPr="004F1CEA" w:rsidRDefault="00682AA1" w:rsidP="00682AA1">
      <w:pPr>
        <w:tabs>
          <w:tab w:val="left" w:pos="360"/>
        </w:tabs>
        <w:spacing w:line="280" w:lineRule="atLeast"/>
        <w:jc w:val="both"/>
      </w:pPr>
      <w:r w:rsidRPr="00682AA1">
        <w:rPr>
          <w:rFonts w:eastAsia="Times New Roman" w:cs="Times New Roman"/>
        </w:rPr>
        <w:t xml:space="preserve">In the 1990 census, the ethnic composition of Mono County was predominantly white (93 percent), with 3.7 percent American Indian, &lt;1 percent Black, 1.3 percent Asian, and 1.9 percent Other Race. Persons of Hispanic Origin, which includes people of all races, encompassed 11.3 percent of the population. In 2000, the population was 85.4 percent white, 4.8 percent American Indian, &lt;1 percent Black, &lt;1 percent Asian, &lt;1 percent Pacific Islander, 6.0 percent Other Race, and 2.4 percent two or more races. While this seems a drop in the white population, it probably reflects more of a change in the way ethnicity was tabulated in the census data rather than a real change in the population. In 2010, the population was 76.1% white, 16.6% Hispanic, 3.5% American Indian, 2.1% 2 or more </w:t>
      </w:r>
      <w:r w:rsidRPr="004F1CEA">
        <w:rPr>
          <w:rFonts w:eastAsia="Times New Roman" w:cs="Times New Roman"/>
        </w:rPr>
        <w:t xml:space="preserve">races, 1.1% Asian and less than .3% Black, Pacific Islander and Other Race (Table 2 &amp; 3). The data shows a continued increase in the Hispanic population.  </w:t>
      </w:r>
    </w:p>
    <w:p w14:paraId="7A13A166" w14:textId="77777777" w:rsidR="004F1CEA" w:rsidRPr="004F1CEA" w:rsidRDefault="004F1CEA" w:rsidP="004F1CEA">
      <w:pPr>
        <w:pStyle w:val="ELEMENT"/>
        <w:spacing w:line="280" w:lineRule="atLeast"/>
        <w:rPr>
          <w:rFonts w:asciiTheme="minorHAnsi" w:hAnsiTheme="minorHAnsi"/>
          <w:sz w:val="22"/>
          <w:szCs w:val="22"/>
        </w:rPr>
      </w:pPr>
      <w:r w:rsidRPr="004F1CEA">
        <w:rPr>
          <w:rFonts w:asciiTheme="minorHAnsi" w:hAnsiTheme="minorHAnsi"/>
          <w:sz w:val="22"/>
          <w:szCs w:val="22"/>
        </w:rPr>
        <w:t>Table 3: Total Population Percentage by Race, CDP, Mono County 2010</w:t>
      </w:r>
    </w:p>
    <w:tbl>
      <w:tblPr>
        <w:tblW w:w="9350" w:type="dxa"/>
        <w:tblInd w:w="5" w:type="dxa"/>
        <w:tblLook w:val="04A0" w:firstRow="1" w:lastRow="0" w:firstColumn="1" w:lastColumn="0" w:noHBand="0" w:noVBand="1"/>
      </w:tblPr>
      <w:tblGrid>
        <w:gridCol w:w="1957"/>
        <w:gridCol w:w="925"/>
        <w:gridCol w:w="924"/>
        <w:gridCol w:w="924"/>
        <w:gridCol w:w="924"/>
        <w:gridCol w:w="924"/>
        <w:gridCol w:w="924"/>
        <w:gridCol w:w="924"/>
        <w:gridCol w:w="924"/>
      </w:tblGrid>
      <w:tr w:rsidR="004F1CEA" w:rsidRPr="004F1CEA" w14:paraId="0089E82A" w14:textId="77777777" w:rsidTr="004F1CEA">
        <w:trPr>
          <w:trHeight w:val="1785"/>
        </w:trPr>
        <w:tc>
          <w:tcPr>
            <w:tcW w:w="1957" w:type="dxa"/>
            <w:tcBorders>
              <w:top w:val="nil"/>
              <w:left w:val="nil"/>
              <w:bottom w:val="single" w:sz="4" w:space="0" w:color="auto"/>
              <w:right w:val="nil"/>
            </w:tcBorders>
            <w:shd w:val="clear" w:color="auto" w:fill="auto"/>
            <w:noWrap/>
            <w:vAlign w:val="bottom"/>
            <w:hideMark/>
          </w:tcPr>
          <w:p w14:paraId="5E23CE59" w14:textId="77777777" w:rsidR="004F1CEA" w:rsidRPr="004F1CEA" w:rsidRDefault="004F1CEA" w:rsidP="004F1CEA">
            <w:pPr>
              <w:spacing w:after="0" w:line="240" w:lineRule="auto"/>
              <w:rPr>
                <w:rFonts w:eastAsia="Times New Roman" w:cs="Times New Roman"/>
              </w:rPr>
            </w:pPr>
          </w:p>
          <w:p w14:paraId="1EB015C2" w14:textId="77777777" w:rsidR="004F1CEA" w:rsidRPr="004F1CEA" w:rsidRDefault="004F1CEA" w:rsidP="004F1CEA">
            <w:pPr>
              <w:spacing w:after="0" w:line="240" w:lineRule="auto"/>
              <w:rPr>
                <w:rFonts w:eastAsia="Times New Roman" w:cs="Times New Roman"/>
              </w:rPr>
            </w:pPr>
          </w:p>
          <w:p w14:paraId="643F7CC1" w14:textId="77777777" w:rsidR="004F1CEA" w:rsidRPr="004F1CEA" w:rsidRDefault="004F1CEA" w:rsidP="004F1CEA">
            <w:pPr>
              <w:spacing w:after="0" w:line="240" w:lineRule="auto"/>
              <w:rPr>
                <w:rFonts w:eastAsia="Times New Roman" w:cs="Times New Roman"/>
              </w:rPr>
            </w:pPr>
          </w:p>
        </w:tc>
        <w:tc>
          <w:tcPr>
            <w:tcW w:w="925" w:type="dxa"/>
            <w:tcBorders>
              <w:top w:val="nil"/>
              <w:left w:val="nil"/>
              <w:bottom w:val="single" w:sz="4" w:space="0" w:color="auto"/>
              <w:right w:val="nil"/>
            </w:tcBorders>
            <w:shd w:val="clear" w:color="auto" w:fill="auto"/>
            <w:noWrap/>
            <w:textDirection w:val="btLr"/>
            <w:vAlign w:val="bottom"/>
            <w:hideMark/>
          </w:tcPr>
          <w:p w14:paraId="72A1EAAD"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White</w:t>
            </w:r>
          </w:p>
        </w:tc>
        <w:tc>
          <w:tcPr>
            <w:tcW w:w="924" w:type="dxa"/>
            <w:tcBorders>
              <w:top w:val="nil"/>
              <w:left w:val="nil"/>
              <w:bottom w:val="single" w:sz="4" w:space="0" w:color="auto"/>
              <w:right w:val="nil"/>
            </w:tcBorders>
            <w:shd w:val="clear" w:color="auto" w:fill="auto"/>
            <w:noWrap/>
            <w:textDirection w:val="btLr"/>
            <w:vAlign w:val="bottom"/>
            <w:hideMark/>
          </w:tcPr>
          <w:p w14:paraId="48B4E4A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Hispanic</w:t>
            </w:r>
          </w:p>
        </w:tc>
        <w:tc>
          <w:tcPr>
            <w:tcW w:w="924" w:type="dxa"/>
            <w:tcBorders>
              <w:top w:val="nil"/>
              <w:left w:val="nil"/>
              <w:bottom w:val="single" w:sz="4" w:space="0" w:color="auto"/>
              <w:right w:val="nil"/>
            </w:tcBorders>
            <w:shd w:val="clear" w:color="auto" w:fill="auto"/>
            <w:noWrap/>
            <w:textDirection w:val="btLr"/>
            <w:vAlign w:val="bottom"/>
            <w:hideMark/>
          </w:tcPr>
          <w:p w14:paraId="5EB4095F"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Amer Indian</w:t>
            </w:r>
          </w:p>
        </w:tc>
        <w:tc>
          <w:tcPr>
            <w:tcW w:w="924" w:type="dxa"/>
            <w:tcBorders>
              <w:top w:val="nil"/>
              <w:left w:val="nil"/>
              <w:bottom w:val="single" w:sz="4" w:space="0" w:color="auto"/>
              <w:right w:val="nil"/>
            </w:tcBorders>
            <w:shd w:val="clear" w:color="auto" w:fill="auto"/>
            <w:noWrap/>
            <w:textDirection w:val="btLr"/>
            <w:vAlign w:val="bottom"/>
            <w:hideMark/>
          </w:tcPr>
          <w:p w14:paraId="3BD8584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Asian</w:t>
            </w:r>
          </w:p>
        </w:tc>
        <w:tc>
          <w:tcPr>
            <w:tcW w:w="924" w:type="dxa"/>
            <w:tcBorders>
              <w:top w:val="nil"/>
              <w:left w:val="nil"/>
              <w:bottom w:val="single" w:sz="4" w:space="0" w:color="auto"/>
              <w:right w:val="nil"/>
            </w:tcBorders>
            <w:shd w:val="clear" w:color="auto" w:fill="auto"/>
            <w:noWrap/>
            <w:textDirection w:val="btLr"/>
            <w:vAlign w:val="bottom"/>
            <w:hideMark/>
          </w:tcPr>
          <w:p w14:paraId="75BF82A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Black</w:t>
            </w:r>
          </w:p>
        </w:tc>
        <w:tc>
          <w:tcPr>
            <w:tcW w:w="924" w:type="dxa"/>
            <w:tcBorders>
              <w:top w:val="nil"/>
              <w:left w:val="nil"/>
              <w:bottom w:val="single" w:sz="4" w:space="0" w:color="auto"/>
              <w:right w:val="nil"/>
            </w:tcBorders>
            <w:shd w:val="clear" w:color="auto" w:fill="auto"/>
            <w:noWrap/>
            <w:textDirection w:val="btLr"/>
            <w:vAlign w:val="bottom"/>
            <w:hideMark/>
          </w:tcPr>
          <w:p w14:paraId="4F04C30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Pacific Islander</w:t>
            </w:r>
          </w:p>
        </w:tc>
        <w:tc>
          <w:tcPr>
            <w:tcW w:w="924" w:type="dxa"/>
            <w:tcBorders>
              <w:top w:val="nil"/>
              <w:left w:val="nil"/>
              <w:bottom w:val="single" w:sz="4" w:space="0" w:color="auto"/>
              <w:right w:val="nil"/>
            </w:tcBorders>
            <w:shd w:val="clear" w:color="auto" w:fill="auto"/>
            <w:noWrap/>
            <w:textDirection w:val="btLr"/>
            <w:vAlign w:val="bottom"/>
            <w:hideMark/>
          </w:tcPr>
          <w:p w14:paraId="04BA7C0C"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Other</w:t>
            </w:r>
          </w:p>
        </w:tc>
        <w:tc>
          <w:tcPr>
            <w:tcW w:w="924" w:type="dxa"/>
            <w:tcBorders>
              <w:top w:val="nil"/>
              <w:left w:val="nil"/>
              <w:bottom w:val="single" w:sz="4" w:space="0" w:color="auto"/>
              <w:right w:val="nil"/>
            </w:tcBorders>
            <w:shd w:val="clear" w:color="auto" w:fill="auto"/>
            <w:noWrap/>
            <w:textDirection w:val="btLr"/>
            <w:vAlign w:val="bottom"/>
            <w:hideMark/>
          </w:tcPr>
          <w:p w14:paraId="01359B0D"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2 or More Races</w:t>
            </w:r>
          </w:p>
        </w:tc>
      </w:tr>
      <w:tr w:rsidR="004F1CEA" w:rsidRPr="004F1CEA" w14:paraId="5B0F719C" w14:textId="77777777" w:rsidTr="004F1CEA">
        <w:trPr>
          <w:trHeight w:val="300"/>
        </w:trPr>
        <w:tc>
          <w:tcPr>
            <w:tcW w:w="1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C4DB4"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w:t>
            </w:r>
          </w:p>
        </w:tc>
        <w:tc>
          <w:tcPr>
            <w:tcW w:w="925" w:type="dxa"/>
            <w:tcBorders>
              <w:top w:val="single" w:sz="4" w:space="0" w:color="auto"/>
              <w:left w:val="single" w:sz="4" w:space="0" w:color="auto"/>
              <w:bottom w:val="single" w:sz="4" w:space="0" w:color="auto"/>
              <w:right w:val="single" w:sz="4" w:space="0" w:color="auto"/>
            </w:tcBorders>
            <w:shd w:val="clear" w:color="000000" w:fill="BDDB8E"/>
            <w:noWrap/>
            <w:vAlign w:val="bottom"/>
            <w:hideMark/>
          </w:tcPr>
          <w:p w14:paraId="185DCB7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68.2%</w:t>
            </w:r>
          </w:p>
        </w:tc>
        <w:tc>
          <w:tcPr>
            <w:tcW w:w="924" w:type="dxa"/>
            <w:tcBorders>
              <w:top w:val="single" w:sz="4" w:space="0" w:color="auto"/>
              <w:left w:val="single" w:sz="4" w:space="0" w:color="auto"/>
              <w:bottom w:val="single" w:sz="4" w:space="0" w:color="auto"/>
              <w:right w:val="single" w:sz="4" w:space="0" w:color="auto"/>
            </w:tcBorders>
            <w:shd w:val="clear" w:color="000000" w:fill="ACD58B"/>
            <w:noWrap/>
            <w:vAlign w:val="bottom"/>
            <w:hideMark/>
          </w:tcPr>
          <w:p w14:paraId="61527F7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26.5%</w:t>
            </w:r>
          </w:p>
        </w:tc>
        <w:tc>
          <w:tcPr>
            <w:tcW w:w="924" w:type="dxa"/>
            <w:tcBorders>
              <w:top w:val="single" w:sz="4" w:space="0" w:color="auto"/>
              <w:left w:val="single" w:sz="4" w:space="0" w:color="auto"/>
              <w:bottom w:val="single" w:sz="4" w:space="0" w:color="auto"/>
              <w:right w:val="single" w:sz="4" w:space="0" w:color="auto"/>
            </w:tcBorders>
            <w:shd w:val="clear" w:color="000000" w:fill="F0EB99"/>
            <w:noWrap/>
            <w:vAlign w:val="bottom"/>
            <w:hideMark/>
          </w:tcPr>
          <w:p w14:paraId="34F215F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c>
          <w:tcPr>
            <w:tcW w:w="924" w:type="dxa"/>
            <w:tcBorders>
              <w:top w:val="single" w:sz="4" w:space="0" w:color="auto"/>
              <w:left w:val="single" w:sz="4" w:space="0" w:color="auto"/>
              <w:bottom w:val="single" w:sz="4" w:space="0" w:color="auto"/>
              <w:right w:val="single" w:sz="4" w:space="0" w:color="auto"/>
            </w:tcBorders>
            <w:shd w:val="clear" w:color="000000" w:fill="CADF91"/>
            <w:noWrap/>
            <w:vAlign w:val="bottom"/>
            <w:hideMark/>
          </w:tcPr>
          <w:p w14:paraId="46423F2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924" w:type="dxa"/>
            <w:tcBorders>
              <w:top w:val="single" w:sz="4" w:space="0" w:color="auto"/>
              <w:left w:val="single" w:sz="4" w:space="0" w:color="auto"/>
              <w:bottom w:val="single" w:sz="4" w:space="0" w:color="auto"/>
              <w:right w:val="single" w:sz="4" w:space="0" w:color="auto"/>
            </w:tcBorders>
            <w:shd w:val="clear" w:color="000000" w:fill="C6DE90"/>
            <w:noWrap/>
            <w:vAlign w:val="bottom"/>
            <w:hideMark/>
          </w:tcPr>
          <w:p w14:paraId="767CEC5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14:paraId="3183C28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F4EC9A"/>
            <w:noWrap/>
            <w:vAlign w:val="bottom"/>
            <w:hideMark/>
          </w:tcPr>
          <w:p w14:paraId="26C9EDA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14:paraId="2BAE5C1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r>
      <w:tr w:rsidR="004F1CEA" w:rsidRPr="004F1CEA" w14:paraId="48D1460E" w14:textId="77777777"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14:paraId="7A8661A8" w14:textId="77777777" w:rsidR="004F1CEA" w:rsidRPr="004F1CEA" w:rsidRDefault="004F1CEA" w:rsidP="004F1CEA">
            <w:pPr>
              <w:spacing w:after="0" w:line="240" w:lineRule="auto"/>
              <w:rPr>
                <w:rFonts w:eastAsia="Times New Roman" w:cs="Times New Roman"/>
                <w:b/>
                <w:bCs/>
                <w:color w:val="000000"/>
              </w:rPr>
            </w:pPr>
            <w:r w:rsidRPr="004F1CEA">
              <w:rPr>
                <w:rFonts w:eastAsia="Times New Roman" w:cs="Times New Roman"/>
                <w:b/>
                <w:bCs/>
                <w:color w:val="000000"/>
              </w:rPr>
              <w:t> </w:t>
            </w:r>
          </w:p>
        </w:tc>
        <w:tc>
          <w:tcPr>
            <w:tcW w:w="925" w:type="dxa"/>
            <w:tcBorders>
              <w:top w:val="nil"/>
              <w:left w:val="nil"/>
              <w:bottom w:val="single" w:sz="4" w:space="0" w:color="auto"/>
              <w:right w:val="nil"/>
            </w:tcBorders>
            <w:shd w:val="clear" w:color="auto" w:fill="auto"/>
            <w:noWrap/>
            <w:vAlign w:val="bottom"/>
            <w:hideMark/>
          </w:tcPr>
          <w:p w14:paraId="105D712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6BC9C5A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36B02FC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20266B7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7CF5A39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769115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36E319B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14:paraId="415DDC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42961F8E"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1F796FE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Mammoth Lakes</w:t>
            </w:r>
          </w:p>
        </w:tc>
        <w:tc>
          <w:tcPr>
            <w:tcW w:w="925" w:type="dxa"/>
            <w:tcBorders>
              <w:top w:val="single" w:sz="4" w:space="0" w:color="auto"/>
              <w:left w:val="single" w:sz="4" w:space="0" w:color="auto"/>
              <w:bottom w:val="single" w:sz="4" w:space="0" w:color="auto"/>
              <w:right w:val="single" w:sz="4" w:space="0" w:color="auto"/>
            </w:tcBorders>
            <w:shd w:val="clear" w:color="000000" w:fill="D0E192"/>
            <w:noWrap/>
            <w:vAlign w:val="bottom"/>
            <w:hideMark/>
          </w:tcPr>
          <w:p w14:paraId="10C71BE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62.5%</w:t>
            </w:r>
          </w:p>
        </w:tc>
        <w:tc>
          <w:tcPr>
            <w:tcW w:w="924" w:type="dxa"/>
            <w:tcBorders>
              <w:top w:val="single" w:sz="4" w:space="0" w:color="auto"/>
              <w:left w:val="single" w:sz="4" w:space="0" w:color="auto"/>
              <w:bottom w:val="single" w:sz="4" w:space="0" w:color="auto"/>
              <w:right w:val="single" w:sz="4" w:space="0" w:color="auto"/>
            </w:tcBorders>
            <w:shd w:val="clear" w:color="000000" w:fill="94CE86"/>
            <w:noWrap/>
            <w:vAlign w:val="bottom"/>
            <w:hideMark/>
          </w:tcPr>
          <w:p w14:paraId="41865A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33.7%</w:t>
            </w:r>
          </w:p>
        </w:tc>
        <w:tc>
          <w:tcPr>
            <w:tcW w:w="924" w:type="dxa"/>
            <w:tcBorders>
              <w:top w:val="single" w:sz="4" w:space="0" w:color="auto"/>
              <w:left w:val="single" w:sz="4" w:space="0" w:color="auto"/>
              <w:bottom w:val="single" w:sz="4" w:space="0" w:color="auto"/>
              <w:right w:val="single" w:sz="4" w:space="0" w:color="auto"/>
            </w:tcBorders>
            <w:shd w:val="clear" w:color="000000" w:fill="FCEE9C"/>
            <w:noWrap/>
            <w:vAlign w:val="bottom"/>
            <w:hideMark/>
          </w:tcPr>
          <w:p w14:paraId="5A3AF0C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14:paraId="22340CF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c>
          <w:tcPr>
            <w:tcW w:w="924" w:type="dxa"/>
            <w:tcBorders>
              <w:top w:val="single" w:sz="4" w:space="0" w:color="auto"/>
              <w:left w:val="single" w:sz="4" w:space="0" w:color="auto"/>
              <w:bottom w:val="single" w:sz="4" w:space="0" w:color="auto"/>
              <w:right w:val="single" w:sz="4" w:space="0" w:color="auto"/>
            </w:tcBorders>
            <w:shd w:val="clear" w:color="000000" w:fill="BCDA8E"/>
            <w:noWrap/>
            <w:vAlign w:val="bottom"/>
            <w:hideMark/>
          </w:tcPr>
          <w:p w14:paraId="41E301B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FBEE9C"/>
            <w:noWrap/>
            <w:vAlign w:val="bottom"/>
            <w:hideMark/>
          </w:tcPr>
          <w:p w14:paraId="3CC52E4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F8ED9B"/>
            <w:noWrap/>
            <w:vAlign w:val="bottom"/>
            <w:hideMark/>
          </w:tcPr>
          <w:p w14:paraId="738D5C7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1121390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r>
      <w:tr w:rsidR="004F1CEA" w:rsidRPr="004F1CEA" w14:paraId="1C7F5ADE" w14:textId="77777777"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14:paraId="14456C2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25" w:type="dxa"/>
            <w:tcBorders>
              <w:top w:val="nil"/>
              <w:left w:val="nil"/>
              <w:bottom w:val="single" w:sz="4" w:space="0" w:color="auto"/>
              <w:right w:val="nil"/>
            </w:tcBorders>
            <w:shd w:val="clear" w:color="auto" w:fill="auto"/>
            <w:noWrap/>
            <w:vAlign w:val="bottom"/>
            <w:hideMark/>
          </w:tcPr>
          <w:p w14:paraId="46528DF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681C7A3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27889E9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3F39CDB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2794E54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162CB6C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4C6DA06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14:paraId="24B05A2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1988CAE9"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5CCDC22D"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 -Town</w:t>
            </w:r>
          </w:p>
        </w:tc>
        <w:tc>
          <w:tcPr>
            <w:tcW w:w="925"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14:paraId="5C9F15C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76.1%</w:t>
            </w:r>
          </w:p>
        </w:tc>
        <w:tc>
          <w:tcPr>
            <w:tcW w:w="924"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14:paraId="5E1386E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16.6%</w:t>
            </w:r>
          </w:p>
        </w:tc>
        <w:tc>
          <w:tcPr>
            <w:tcW w:w="924" w:type="dxa"/>
            <w:tcBorders>
              <w:top w:val="single" w:sz="4" w:space="0" w:color="auto"/>
              <w:left w:val="single" w:sz="4" w:space="0" w:color="auto"/>
              <w:bottom w:val="single" w:sz="4" w:space="0" w:color="auto"/>
              <w:right w:val="single" w:sz="4" w:space="0" w:color="auto"/>
            </w:tcBorders>
            <w:shd w:val="clear" w:color="000000" w:fill="E1E696"/>
            <w:noWrap/>
            <w:vAlign w:val="bottom"/>
            <w:hideMark/>
          </w:tcPr>
          <w:p w14:paraId="2E2B1F5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3.5%</w:t>
            </w:r>
          </w:p>
        </w:tc>
        <w:tc>
          <w:tcPr>
            <w:tcW w:w="924" w:type="dxa"/>
            <w:tcBorders>
              <w:top w:val="single" w:sz="4" w:space="0" w:color="auto"/>
              <w:left w:val="single" w:sz="4" w:space="0" w:color="auto"/>
              <w:bottom w:val="single" w:sz="4" w:space="0" w:color="auto"/>
              <w:right w:val="single" w:sz="4" w:space="0" w:color="auto"/>
            </w:tcBorders>
            <w:shd w:val="clear" w:color="000000" w:fill="D6E294"/>
            <w:noWrap/>
            <w:vAlign w:val="bottom"/>
            <w:hideMark/>
          </w:tcPr>
          <w:p w14:paraId="475D204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924" w:type="dxa"/>
            <w:tcBorders>
              <w:top w:val="single" w:sz="4" w:space="0" w:color="auto"/>
              <w:left w:val="single" w:sz="4" w:space="0" w:color="auto"/>
              <w:bottom w:val="single" w:sz="4" w:space="0" w:color="auto"/>
              <w:right w:val="single" w:sz="4" w:space="0" w:color="auto"/>
            </w:tcBorders>
            <w:shd w:val="clear" w:color="000000" w:fill="D5E294"/>
            <w:noWrap/>
            <w:vAlign w:val="bottom"/>
            <w:hideMark/>
          </w:tcPr>
          <w:p w14:paraId="5AABD99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F8ED9B"/>
            <w:noWrap/>
            <w:vAlign w:val="bottom"/>
            <w:hideMark/>
          </w:tcPr>
          <w:p w14:paraId="0DC796F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F0EA99"/>
            <w:noWrap/>
            <w:vAlign w:val="bottom"/>
            <w:hideMark/>
          </w:tcPr>
          <w:p w14:paraId="3CF6D65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B5D88D"/>
            <w:noWrap/>
            <w:vAlign w:val="bottom"/>
            <w:hideMark/>
          </w:tcPr>
          <w:p w14:paraId="6489E7A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w:t>
            </w:r>
          </w:p>
        </w:tc>
      </w:tr>
      <w:tr w:rsidR="004F1CEA" w:rsidRPr="004F1CEA" w14:paraId="00E6A405" w14:textId="77777777"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14:paraId="2FDD0CEF"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25" w:type="dxa"/>
            <w:tcBorders>
              <w:top w:val="nil"/>
              <w:left w:val="nil"/>
              <w:bottom w:val="nil"/>
              <w:right w:val="nil"/>
            </w:tcBorders>
            <w:shd w:val="clear" w:color="auto" w:fill="auto"/>
            <w:noWrap/>
            <w:vAlign w:val="bottom"/>
            <w:hideMark/>
          </w:tcPr>
          <w:p w14:paraId="4E4600D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14:paraId="6E9A438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14:paraId="2F1D06E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14:paraId="079DBD2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14:paraId="496F669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14:paraId="51BEFF9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nil"/>
            </w:tcBorders>
            <w:shd w:val="clear" w:color="auto" w:fill="auto"/>
            <w:noWrap/>
            <w:vAlign w:val="bottom"/>
            <w:hideMark/>
          </w:tcPr>
          <w:p w14:paraId="275F930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nil"/>
              <w:right w:val="single" w:sz="4" w:space="0" w:color="auto"/>
            </w:tcBorders>
            <w:shd w:val="clear" w:color="auto" w:fill="auto"/>
            <w:noWrap/>
            <w:vAlign w:val="bottom"/>
            <w:hideMark/>
          </w:tcPr>
          <w:p w14:paraId="189756B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76F5994D" w14:textId="77777777"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14:paraId="2B2EF8C2" w14:textId="77777777" w:rsidR="004F1CEA" w:rsidRPr="004F1CEA" w:rsidRDefault="004F1CEA" w:rsidP="004F1CEA">
            <w:pPr>
              <w:spacing w:after="0" w:line="240" w:lineRule="auto"/>
              <w:rPr>
                <w:rFonts w:eastAsia="Times New Roman" w:cs="Times New Roman"/>
                <w:i/>
                <w:iCs/>
                <w:color w:val="000000"/>
              </w:rPr>
            </w:pPr>
            <w:r w:rsidRPr="004F1CEA">
              <w:rPr>
                <w:rFonts w:eastAsia="Times New Roman" w:cs="Times New Roman"/>
                <w:i/>
                <w:iCs/>
                <w:color w:val="000000"/>
              </w:rPr>
              <w:t>Mono County CDPs</w:t>
            </w:r>
          </w:p>
        </w:tc>
        <w:tc>
          <w:tcPr>
            <w:tcW w:w="925" w:type="dxa"/>
            <w:tcBorders>
              <w:top w:val="nil"/>
              <w:left w:val="nil"/>
              <w:bottom w:val="single" w:sz="4" w:space="0" w:color="auto"/>
              <w:right w:val="nil"/>
            </w:tcBorders>
            <w:shd w:val="clear" w:color="auto" w:fill="auto"/>
            <w:noWrap/>
            <w:vAlign w:val="bottom"/>
            <w:hideMark/>
          </w:tcPr>
          <w:p w14:paraId="4409F30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4CBC727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74806CE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7DDF287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752161B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1CAF3BC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0995B42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14:paraId="4F2C70F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15231DE2"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4707115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Chalfant</w:t>
            </w:r>
          </w:p>
        </w:tc>
        <w:tc>
          <w:tcPr>
            <w:tcW w:w="925" w:type="dxa"/>
            <w:tcBorders>
              <w:top w:val="single" w:sz="4" w:space="0" w:color="auto"/>
              <w:left w:val="single" w:sz="4" w:space="0" w:color="auto"/>
              <w:bottom w:val="single" w:sz="4" w:space="0" w:color="auto"/>
              <w:right w:val="single" w:sz="4" w:space="0" w:color="auto"/>
            </w:tcBorders>
            <w:shd w:val="clear" w:color="000000" w:fill="86C983"/>
            <w:noWrap/>
            <w:vAlign w:val="bottom"/>
            <w:hideMark/>
          </w:tcPr>
          <w:p w14:paraId="75300B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84.8%</w:t>
            </w:r>
          </w:p>
        </w:tc>
        <w:tc>
          <w:tcPr>
            <w:tcW w:w="924" w:type="dxa"/>
            <w:tcBorders>
              <w:top w:val="single" w:sz="4" w:space="0" w:color="auto"/>
              <w:left w:val="single" w:sz="4" w:space="0" w:color="auto"/>
              <w:bottom w:val="single" w:sz="4" w:space="0" w:color="auto"/>
              <w:right w:val="single" w:sz="4" w:space="0" w:color="auto"/>
            </w:tcBorders>
            <w:shd w:val="clear" w:color="000000" w:fill="E2E696"/>
            <w:noWrap/>
            <w:vAlign w:val="bottom"/>
            <w:hideMark/>
          </w:tcPr>
          <w:p w14:paraId="4F267A2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10.3%</w:t>
            </w:r>
          </w:p>
        </w:tc>
        <w:tc>
          <w:tcPr>
            <w:tcW w:w="924" w:type="dxa"/>
            <w:tcBorders>
              <w:top w:val="single" w:sz="4" w:space="0" w:color="auto"/>
              <w:left w:val="single" w:sz="4" w:space="0" w:color="auto"/>
              <w:bottom w:val="single" w:sz="4" w:space="0" w:color="auto"/>
              <w:right w:val="single" w:sz="4" w:space="0" w:color="auto"/>
            </w:tcBorders>
            <w:shd w:val="clear" w:color="000000" w:fill="F5EC9A"/>
            <w:noWrap/>
            <w:vAlign w:val="bottom"/>
            <w:hideMark/>
          </w:tcPr>
          <w:p w14:paraId="1229DDE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w:t>
            </w:r>
          </w:p>
        </w:tc>
        <w:tc>
          <w:tcPr>
            <w:tcW w:w="924" w:type="dxa"/>
            <w:tcBorders>
              <w:top w:val="single" w:sz="4" w:space="0" w:color="auto"/>
              <w:left w:val="single" w:sz="4" w:space="0" w:color="auto"/>
              <w:bottom w:val="single" w:sz="4" w:space="0" w:color="auto"/>
              <w:right w:val="single" w:sz="4" w:space="0" w:color="auto"/>
            </w:tcBorders>
            <w:shd w:val="clear" w:color="000000" w:fill="E1E696"/>
            <w:noWrap/>
            <w:vAlign w:val="bottom"/>
            <w:hideMark/>
          </w:tcPr>
          <w:p w14:paraId="6B329A5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0.8%</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F57067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8A0ED5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EAE998"/>
            <w:noWrap/>
            <w:vAlign w:val="bottom"/>
            <w:hideMark/>
          </w:tcPr>
          <w:p w14:paraId="70BEB73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0.5%</w:t>
            </w:r>
          </w:p>
        </w:tc>
        <w:tc>
          <w:tcPr>
            <w:tcW w:w="924" w:type="dxa"/>
            <w:tcBorders>
              <w:top w:val="single" w:sz="4" w:space="0" w:color="auto"/>
              <w:left w:val="single" w:sz="4" w:space="0" w:color="auto"/>
              <w:bottom w:val="single" w:sz="4" w:space="0" w:color="auto"/>
              <w:right w:val="single" w:sz="4" w:space="0" w:color="auto"/>
            </w:tcBorders>
            <w:shd w:val="clear" w:color="000000" w:fill="A8D48A"/>
            <w:noWrap/>
            <w:vAlign w:val="bottom"/>
            <w:hideMark/>
          </w:tcPr>
          <w:p w14:paraId="5F8890A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w:t>
            </w:r>
          </w:p>
        </w:tc>
      </w:tr>
      <w:tr w:rsidR="004F1CEA" w:rsidRPr="004F1CEA" w14:paraId="0BA8206E"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7F3E233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Benton</w:t>
            </w:r>
          </w:p>
        </w:tc>
        <w:tc>
          <w:tcPr>
            <w:tcW w:w="925"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14:paraId="0DD9029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67.1%</w:t>
            </w:r>
          </w:p>
        </w:tc>
        <w:tc>
          <w:tcPr>
            <w:tcW w:w="924" w:type="dxa"/>
            <w:tcBorders>
              <w:top w:val="single" w:sz="4" w:space="0" w:color="auto"/>
              <w:left w:val="single" w:sz="4" w:space="0" w:color="auto"/>
              <w:bottom w:val="single" w:sz="4" w:space="0" w:color="auto"/>
              <w:right w:val="single" w:sz="4" w:space="0" w:color="auto"/>
            </w:tcBorders>
            <w:shd w:val="clear" w:color="000000" w:fill="D7E394"/>
            <w:noWrap/>
            <w:vAlign w:val="bottom"/>
            <w:hideMark/>
          </w:tcPr>
          <w:p w14:paraId="5944409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13.6%</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6E47A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17.5%</w:t>
            </w:r>
          </w:p>
        </w:tc>
        <w:tc>
          <w:tcPr>
            <w:tcW w:w="924" w:type="dxa"/>
            <w:tcBorders>
              <w:top w:val="single" w:sz="4" w:space="0" w:color="auto"/>
              <w:left w:val="single" w:sz="4" w:space="0" w:color="auto"/>
              <w:bottom w:val="single" w:sz="4" w:space="0" w:color="auto"/>
              <w:right w:val="single" w:sz="4" w:space="0" w:color="auto"/>
            </w:tcBorders>
            <w:shd w:val="clear" w:color="000000" w:fill="F1EB99"/>
            <w:noWrap/>
            <w:vAlign w:val="bottom"/>
            <w:hideMark/>
          </w:tcPr>
          <w:p w14:paraId="63C0B6D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3339E7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E5309D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2ACF8A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14:paraId="70CD364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r>
      <w:tr w:rsidR="004F1CEA" w:rsidRPr="004F1CEA" w14:paraId="58C8334E"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4BF0DF5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Paradise</w:t>
            </w:r>
          </w:p>
        </w:tc>
        <w:tc>
          <w:tcPr>
            <w:tcW w:w="925" w:type="dxa"/>
            <w:tcBorders>
              <w:top w:val="single" w:sz="4" w:space="0" w:color="auto"/>
              <w:left w:val="single" w:sz="4" w:space="0" w:color="auto"/>
              <w:bottom w:val="single" w:sz="4" w:space="0" w:color="auto"/>
              <w:right w:val="single" w:sz="4" w:space="0" w:color="auto"/>
            </w:tcBorders>
            <w:shd w:val="clear" w:color="000000" w:fill="99CF87"/>
            <w:noWrap/>
            <w:vAlign w:val="bottom"/>
            <w:hideMark/>
          </w:tcPr>
          <w:p w14:paraId="72B431F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79.1%</w:t>
            </w:r>
          </w:p>
        </w:tc>
        <w:tc>
          <w:tcPr>
            <w:tcW w:w="924" w:type="dxa"/>
            <w:tcBorders>
              <w:top w:val="single" w:sz="4" w:space="0" w:color="auto"/>
              <w:left w:val="single" w:sz="4" w:space="0" w:color="auto"/>
              <w:bottom w:val="single" w:sz="4" w:space="0" w:color="auto"/>
              <w:right w:val="single" w:sz="4" w:space="0" w:color="auto"/>
            </w:tcBorders>
            <w:shd w:val="clear" w:color="000000" w:fill="E6E797"/>
            <w:noWrap/>
            <w:vAlign w:val="bottom"/>
            <w:hideMark/>
          </w:tcPr>
          <w:p w14:paraId="05ECCCA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9.2%</w:t>
            </w:r>
          </w:p>
        </w:tc>
        <w:tc>
          <w:tcPr>
            <w:tcW w:w="924"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14:paraId="687333D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0.7%</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98F33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3.9%</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4B811B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48DBB2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50CCA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w:t>
            </w:r>
          </w:p>
        </w:tc>
        <w:tc>
          <w:tcPr>
            <w:tcW w:w="924" w:type="dxa"/>
            <w:tcBorders>
              <w:top w:val="single" w:sz="4" w:space="0" w:color="auto"/>
              <w:left w:val="single" w:sz="4" w:space="0" w:color="auto"/>
              <w:bottom w:val="single" w:sz="4" w:space="0" w:color="auto"/>
              <w:right w:val="single" w:sz="4" w:space="0" w:color="auto"/>
            </w:tcBorders>
            <w:shd w:val="clear" w:color="000000" w:fill="74C47F"/>
            <w:noWrap/>
            <w:vAlign w:val="bottom"/>
            <w:hideMark/>
          </w:tcPr>
          <w:p w14:paraId="02C849E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3.9%</w:t>
            </w:r>
          </w:p>
        </w:tc>
      </w:tr>
      <w:tr w:rsidR="004F1CEA" w:rsidRPr="004F1CEA" w14:paraId="0E32CCD1"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1365120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Swall Meadows</w:t>
            </w:r>
          </w:p>
        </w:tc>
        <w:tc>
          <w:tcPr>
            <w:tcW w:w="925" w:type="dxa"/>
            <w:tcBorders>
              <w:top w:val="single" w:sz="4" w:space="0" w:color="auto"/>
              <w:left w:val="single" w:sz="4" w:space="0" w:color="auto"/>
              <w:bottom w:val="single" w:sz="4" w:space="0" w:color="auto"/>
              <w:right w:val="single" w:sz="4" w:space="0" w:color="auto"/>
            </w:tcBorders>
            <w:shd w:val="clear" w:color="000000" w:fill="78C580"/>
            <w:noWrap/>
            <w:vAlign w:val="bottom"/>
            <w:hideMark/>
          </w:tcPr>
          <w:p w14:paraId="2770729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89.1%</w:t>
            </w:r>
          </w:p>
        </w:tc>
        <w:tc>
          <w:tcPr>
            <w:tcW w:w="924" w:type="dxa"/>
            <w:tcBorders>
              <w:top w:val="single" w:sz="4" w:space="0" w:color="auto"/>
              <w:left w:val="single" w:sz="4" w:space="0" w:color="auto"/>
              <w:bottom w:val="single" w:sz="4" w:space="0" w:color="auto"/>
              <w:right w:val="single" w:sz="4" w:space="0" w:color="auto"/>
            </w:tcBorders>
            <w:shd w:val="clear" w:color="000000" w:fill="FCEE9C"/>
            <w:noWrap/>
            <w:vAlign w:val="bottom"/>
            <w:hideMark/>
          </w:tcPr>
          <w:p w14:paraId="1FE9474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2.7%</w:t>
            </w:r>
          </w:p>
        </w:tc>
        <w:tc>
          <w:tcPr>
            <w:tcW w:w="924" w:type="dxa"/>
            <w:tcBorders>
              <w:top w:val="single" w:sz="4" w:space="0" w:color="auto"/>
              <w:left w:val="single" w:sz="4" w:space="0" w:color="auto"/>
              <w:bottom w:val="single" w:sz="4" w:space="0" w:color="auto"/>
              <w:right w:val="single" w:sz="4" w:space="0" w:color="auto"/>
            </w:tcBorders>
            <w:shd w:val="clear" w:color="000000" w:fill="F7ED9B"/>
            <w:noWrap/>
            <w:vAlign w:val="bottom"/>
            <w:hideMark/>
          </w:tcPr>
          <w:p w14:paraId="5361282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0.9%</w:t>
            </w:r>
          </w:p>
        </w:tc>
        <w:tc>
          <w:tcPr>
            <w:tcW w:w="924" w:type="dxa"/>
            <w:tcBorders>
              <w:top w:val="single" w:sz="4" w:space="0" w:color="auto"/>
              <w:left w:val="single" w:sz="4" w:space="0" w:color="auto"/>
              <w:bottom w:val="single" w:sz="4" w:space="0" w:color="auto"/>
              <w:right w:val="single" w:sz="4" w:space="0" w:color="auto"/>
            </w:tcBorders>
            <w:shd w:val="clear" w:color="000000" w:fill="A5D389"/>
            <w:noWrap/>
            <w:vAlign w:val="bottom"/>
            <w:hideMark/>
          </w:tcPr>
          <w:p w14:paraId="514DDEB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3670DE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38DC39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D4E293"/>
            <w:noWrap/>
            <w:vAlign w:val="bottom"/>
            <w:hideMark/>
          </w:tcPr>
          <w:p w14:paraId="409656A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0.9%</w:t>
            </w:r>
          </w:p>
        </w:tc>
        <w:tc>
          <w:tcPr>
            <w:tcW w:w="924" w:type="dxa"/>
            <w:tcBorders>
              <w:top w:val="single" w:sz="4" w:space="0" w:color="auto"/>
              <w:left w:val="single" w:sz="4" w:space="0" w:color="auto"/>
              <w:bottom w:val="single" w:sz="4" w:space="0" w:color="auto"/>
              <w:right w:val="single" w:sz="4" w:space="0" w:color="auto"/>
            </w:tcBorders>
            <w:shd w:val="clear" w:color="000000" w:fill="6EC27E"/>
            <w:noWrap/>
            <w:vAlign w:val="bottom"/>
            <w:hideMark/>
          </w:tcPr>
          <w:p w14:paraId="6287C8E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w:t>
            </w:r>
          </w:p>
        </w:tc>
      </w:tr>
      <w:tr w:rsidR="004F1CEA" w:rsidRPr="004F1CEA" w14:paraId="2B2CFF80"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4DE8165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Sunny Slopes</w:t>
            </w:r>
          </w:p>
        </w:tc>
        <w:tc>
          <w:tcPr>
            <w:tcW w:w="925" w:type="dxa"/>
            <w:tcBorders>
              <w:top w:val="single" w:sz="4" w:space="0" w:color="auto"/>
              <w:left w:val="single" w:sz="4" w:space="0" w:color="auto"/>
              <w:bottom w:val="single" w:sz="4" w:space="0" w:color="auto"/>
              <w:right w:val="single" w:sz="4" w:space="0" w:color="auto"/>
            </w:tcBorders>
            <w:shd w:val="clear" w:color="000000" w:fill="7FC781"/>
            <w:noWrap/>
            <w:vAlign w:val="bottom"/>
            <w:hideMark/>
          </w:tcPr>
          <w:p w14:paraId="5BACD13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86.8%</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FE399E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c>
          <w:tcPr>
            <w:tcW w:w="924" w:type="dxa"/>
            <w:tcBorders>
              <w:top w:val="single" w:sz="4" w:space="0" w:color="auto"/>
              <w:left w:val="single" w:sz="4" w:space="0" w:color="auto"/>
              <w:bottom w:val="single" w:sz="4" w:space="0" w:color="auto"/>
              <w:right w:val="single" w:sz="4" w:space="0" w:color="auto"/>
            </w:tcBorders>
            <w:shd w:val="clear" w:color="000000" w:fill="F6EC9A"/>
            <w:noWrap/>
            <w:vAlign w:val="bottom"/>
            <w:hideMark/>
          </w:tcPr>
          <w:p w14:paraId="2994FC9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924" w:type="dxa"/>
            <w:tcBorders>
              <w:top w:val="single" w:sz="4" w:space="0" w:color="auto"/>
              <w:left w:val="single" w:sz="4" w:space="0" w:color="auto"/>
              <w:bottom w:val="single" w:sz="4" w:space="0" w:color="auto"/>
              <w:right w:val="single" w:sz="4" w:space="0" w:color="auto"/>
            </w:tcBorders>
            <w:shd w:val="clear" w:color="000000" w:fill="66BF7C"/>
            <w:noWrap/>
            <w:vAlign w:val="bottom"/>
            <w:hideMark/>
          </w:tcPr>
          <w:p w14:paraId="53AB822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3.8%</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5ADD73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25E47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DB9BB5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953B3F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4.4%</w:t>
            </w:r>
          </w:p>
        </w:tc>
      </w:tr>
      <w:tr w:rsidR="004F1CEA" w:rsidRPr="004F1CEA" w14:paraId="50BB24D5"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78529E60" w14:textId="77777777" w:rsidR="004F1CEA" w:rsidRPr="004F1CEA" w:rsidRDefault="00022FE4" w:rsidP="004F1CEA">
            <w:pPr>
              <w:spacing w:after="0" w:line="240" w:lineRule="auto"/>
              <w:rPr>
                <w:rFonts w:eastAsia="Times New Roman" w:cs="Times New Roman"/>
                <w:color w:val="000000"/>
              </w:rPr>
            </w:pPr>
            <w:r>
              <w:rPr>
                <w:rFonts w:eastAsia="Times New Roman" w:cs="Times New Roman"/>
                <w:color w:val="000000"/>
              </w:rPr>
              <w:t>Asp</w:t>
            </w:r>
            <w:r w:rsidR="004F1CEA" w:rsidRPr="004F1CEA">
              <w:rPr>
                <w:rFonts w:eastAsia="Times New Roman" w:cs="Times New Roman"/>
                <w:color w:val="000000"/>
              </w:rPr>
              <w:t>en Springs</w:t>
            </w:r>
          </w:p>
        </w:tc>
        <w:tc>
          <w:tcPr>
            <w:tcW w:w="925" w:type="dxa"/>
            <w:tcBorders>
              <w:top w:val="single" w:sz="4" w:space="0" w:color="auto"/>
              <w:left w:val="single" w:sz="4" w:space="0" w:color="auto"/>
              <w:bottom w:val="single" w:sz="4" w:space="0" w:color="auto"/>
              <w:right w:val="single" w:sz="4" w:space="0" w:color="auto"/>
            </w:tcBorders>
            <w:shd w:val="clear" w:color="000000" w:fill="68C07C"/>
            <w:noWrap/>
            <w:vAlign w:val="bottom"/>
            <w:hideMark/>
          </w:tcPr>
          <w:p w14:paraId="1492B0A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93.8%</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A8FC02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7CC39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85C983"/>
            <w:noWrap/>
            <w:vAlign w:val="bottom"/>
            <w:hideMark/>
          </w:tcPr>
          <w:p w14:paraId="50B710C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3.1%</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A0B91F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8EA706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4E67BC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C9DE91"/>
            <w:noWrap/>
            <w:vAlign w:val="bottom"/>
            <w:hideMark/>
          </w:tcPr>
          <w:p w14:paraId="7926634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w:t>
            </w:r>
          </w:p>
        </w:tc>
      </w:tr>
      <w:tr w:rsidR="004F1CEA" w:rsidRPr="004F1CEA" w14:paraId="31271010"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3680E668"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Crowley Lake</w:t>
            </w:r>
          </w:p>
        </w:tc>
        <w:tc>
          <w:tcPr>
            <w:tcW w:w="925" w:type="dxa"/>
            <w:tcBorders>
              <w:top w:val="single" w:sz="4" w:space="0" w:color="auto"/>
              <w:left w:val="single" w:sz="4" w:space="0" w:color="auto"/>
              <w:bottom w:val="single" w:sz="4" w:space="0" w:color="auto"/>
              <w:right w:val="single" w:sz="4" w:space="0" w:color="auto"/>
            </w:tcBorders>
            <w:shd w:val="clear" w:color="000000" w:fill="93CE86"/>
            <w:noWrap/>
            <w:vAlign w:val="bottom"/>
            <w:hideMark/>
          </w:tcPr>
          <w:p w14:paraId="0A13F44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80.7%</w:t>
            </w:r>
          </w:p>
        </w:tc>
        <w:tc>
          <w:tcPr>
            <w:tcW w:w="924" w:type="dxa"/>
            <w:tcBorders>
              <w:top w:val="single" w:sz="4" w:space="0" w:color="auto"/>
              <w:left w:val="single" w:sz="4" w:space="0" w:color="auto"/>
              <w:bottom w:val="single" w:sz="4" w:space="0" w:color="auto"/>
              <w:right w:val="single" w:sz="4" w:space="0" w:color="auto"/>
            </w:tcBorders>
            <w:shd w:val="clear" w:color="000000" w:fill="D4E293"/>
            <w:noWrap/>
            <w:vAlign w:val="bottom"/>
            <w:hideMark/>
          </w:tcPr>
          <w:p w14:paraId="3A8E3E9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14.6%</w:t>
            </w:r>
          </w:p>
        </w:tc>
        <w:tc>
          <w:tcPr>
            <w:tcW w:w="924"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14:paraId="7E045D6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0.6%</w:t>
            </w:r>
          </w:p>
        </w:tc>
        <w:tc>
          <w:tcPr>
            <w:tcW w:w="924"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14:paraId="087F3E5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924" w:type="dxa"/>
            <w:tcBorders>
              <w:top w:val="single" w:sz="4" w:space="0" w:color="auto"/>
              <w:left w:val="single" w:sz="4" w:space="0" w:color="auto"/>
              <w:bottom w:val="single" w:sz="4" w:space="0" w:color="auto"/>
              <w:right w:val="single" w:sz="4" w:space="0" w:color="auto"/>
            </w:tcBorders>
            <w:shd w:val="clear" w:color="000000" w:fill="BDDB8E"/>
            <w:noWrap/>
            <w:vAlign w:val="bottom"/>
            <w:hideMark/>
          </w:tcPr>
          <w:p w14:paraId="14882D7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744B9C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E4E797"/>
            <w:noWrap/>
            <w:vAlign w:val="bottom"/>
            <w:hideMark/>
          </w:tcPr>
          <w:p w14:paraId="3297935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0.6%</w:t>
            </w:r>
          </w:p>
        </w:tc>
        <w:tc>
          <w:tcPr>
            <w:tcW w:w="924" w:type="dxa"/>
            <w:tcBorders>
              <w:top w:val="single" w:sz="4" w:space="0" w:color="auto"/>
              <w:left w:val="single" w:sz="4" w:space="0" w:color="auto"/>
              <w:bottom w:val="single" w:sz="4" w:space="0" w:color="auto"/>
              <w:right w:val="single" w:sz="4" w:space="0" w:color="auto"/>
            </w:tcBorders>
            <w:shd w:val="clear" w:color="000000" w:fill="BBDA8E"/>
            <w:noWrap/>
            <w:vAlign w:val="bottom"/>
            <w:hideMark/>
          </w:tcPr>
          <w:p w14:paraId="7BFCED4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w:t>
            </w:r>
          </w:p>
        </w:tc>
      </w:tr>
      <w:tr w:rsidR="004F1CEA" w:rsidRPr="004F1CEA" w14:paraId="77AB36B9"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429FFEDE"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McGee Creek</w:t>
            </w:r>
          </w:p>
        </w:tc>
        <w:tc>
          <w:tcPr>
            <w:tcW w:w="92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01685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95.1%</w:t>
            </w:r>
          </w:p>
        </w:tc>
        <w:tc>
          <w:tcPr>
            <w:tcW w:w="924" w:type="dxa"/>
            <w:tcBorders>
              <w:top w:val="single" w:sz="4" w:space="0" w:color="auto"/>
              <w:left w:val="single" w:sz="4" w:space="0" w:color="auto"/>
              <w:bottom w:val="single" w:sz="4" w:space="0" w:color="auto"/>
              <w:right w:val="single" w:sz="4" w:space="0" w:color="auto"/>
            </w:tcBorders>
            <w:shd w:val="clear" w:color="000000" w:fill="F4EC9A"/>
            <w:noWrap/>
            <w:vAlign w:val="bottom"/>
            <w:hideMark/>
          </w:tcPr>
          <w:p w14:paraId="440B7A7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4.9%</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766D47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EF0D46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8108B9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DC71CF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AAEB05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AAF71B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r>
      <w:tr w:rsidR="004F1CEA" w:rsidRPr="004F1CEA" w14:paraId="5D0BB63C"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7E5F59F4"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June Lake</w:t>
            </w:r>
          </w:p>
        </w:tc>
        <w:tc>
          <w:tcPr>
            <w:tcW w:w="925"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14:paraId="2B0AE47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75.7%</w:t>
            </w:r>
          </w:p>
        </w:tc>
        <w:tc>
          <w:tcPr>
            <w:tcW w:w="924" w:type="dxa"/>
            <w:tcBorders>
              <w:top w:val="single" w:sz="4" w:space="0" w:color="auto"/>
              <w:left w:val="single" w:sz="4" w:space="0" w:color="auto"/>
              <w:bottom w:val="single" w:sz="4" w:space="0" w:color="auto"/>
              <w:right w:val="single" w:sz="4" w:space="0" w:color="auto"/>
            </w:tcBorders>
            <w:shd w:val="clear" w:color="000000" w:fill="BCDA8E"/>
            <w:noWrap/>
            <w:vAlign w:val="bottom"/>
            <w:hideMark/>
          </w:tcPr>
          <w:p w14:paraId="5BECA38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21.8%</w:t>
            </w:r>
          </w:p>
        </w:tc>
        <w:tc>
          <w:tcPr>
            <w:tcW w:w="924" w:type="dxa"/>
            <w:tcBorders>
              <w:top w:val="single" w:sz="4" w:space="0" w:color="auto"/>
              <w:left w:val="single" w:sz="4" w:space="0" w:color="auto"/>
              <w:bottom w:val="single" w:sz="4" w:space="0" w:color="auto"/>
              <w:right w:val="single" w:sz="4" w:space="0" w:color="auto"/>
            </w:tcBorders>
            <w:shd w:val="clear" w:color="000000" w:fill="F7ED9B"/>
            <w:noWrap/>
            <w:vAlign w:val="bottom"/>
            <w:hideMark/>
          </w:tcPr>
          <w:p w14:paraId="204AE94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w:t>
            </w:r>
          </w:p>
        </w:tc>
        <w:tc>
          <w:tcPr>
            <w:tcW w:w="924" w:type="dxa"/>
            <w:tcBorders>
              <w:top w:val="single" w:sz="4" w:space="0" w:color="auto"/>
              <w:left w:val="single" w:sz="4" w:space="0" w:color="auto"/>
              <w:bottom w:val="single" w:sz="4" w:space="0" w:color="auto"/>
              <w:right w:val="single" w:sz="4" w:space="0" w:color="auto"/>
            </w:tcBorders>
            <w:shd w:val="clear" w:color="000000" w:fill="F3EC9A"/>
            <w:noWrap/>
            <w:vAlign w:val="bottom"/>
            <w:hideMark/>
          </w:tcPr>
          <w:p w14:paraId="74E53F0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9B1079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77D812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4D17A3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D2E193"/>
            <w:noWrap/>
            <w:vAlign w:val="bottom"/>
            <w:hideMark/>
          </w:tcPr>
          <w:p w14:paraId="534A1B7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r>
      <w:tr w:rsidR="004F1CEA" w:rsidRPr="004F1CEA" w14:paraId="25743CBB"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255B032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Lee Vining</w:t>
            </w:r>
          </w:p>
        </w:tc>
        <w:tc>
          <w:tcPr>
            <w:tcW w:w="92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F93A89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48.2%</w:t>
            </w:r>
          </w:p>
        </w:tc>
        <w:tc>
          <w:tcPr>
            <w:tcW w:w="924" w:type="dxa"/>
            <w:tcBorders>
              <w:top w:val="single" w:sz="4" w:space="0" w:color="auto"/>
              <w:left w:val="single" w:sz="4" w:space="0" w:color="auto"/>
              <w:bottom w:val="single" w:sz="4" w:space="0" w:color="auto"/>
              <w:right w:val="single" w:sz="4" w:space="0" w:color="auto"/>
            </w:tcBorders>
            <w:shd w:val="clear" w:color="000000" w:fill="73C47F"/>
            <w:noWrap/>
            <w:vAlign w:val="bottom"/>
            <w:hideMark/>
          </w:tcPr>
          <w:p w14:paraId="4EB8352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43.2%</w:t>
            </w:r>
          </w:p>
        </w:tc>
        <w:tc>
          <w:tcPr>
            <w:tcW w:w="924" w:type="dxa"/>
            <w:tcBorders>
              <w:top w:val="single" w:sz="4" w:space="0" w:color="auto"/>
              <w:left w:val="single" w:sz="4" w:space="0" w:color="auto"/>
              <w:bottom w:val="single" w:sz="4" w:space="0" w:color="auto"/>
              <w:right w:val="single" w:sz="4" w:space="0" w:color="auto"/>
            </w:tcBorders>
            <w:shd w:val="clear" w:color="000000" w:fill="BBDA8E"/>
            <w:noWrap/>
            <w:vAlign w:val="bottom"/>
            <w:hideMark/>
          </w:tcPr>
          <w:p w14:paraId="0BDCC44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7.7%</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F62DC3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EA61C1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58F90F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D4E293"/>
            <w:noWrap/>
            <w:vAlign w:val="bottom"/>
            <w:hideMark/>
          </w:tcPr>
          <w:p w14:paraId="2FB9370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0.9%</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F803B6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r>
      <w:tr w:rsidR="004F1CEA" w:rsidRPr="004F1CEA" w14:paraId="1E3CD563"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774AA91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Mono City</w:t>
            </w:r>
          </w:p>
        </w:tc>
        <w:tc>
          <w:tcPr>
            <w:tcW w:w="925" w:type="dxa"/>
            <w:tcBorders>
              <w:top w:val="single" w:sz="4" w:space="0" w:color="auto"/>
              <w:left w:val="single" w:sz="4" w:space="0" w:color="auto"/>
              <w:bottom w:val="single" w:sz="4" w:space="0" w:color="auto"/>
              <w:right w:val="single" w:sz="4" w:space="0" w:color="auto"/>
            </w:tcBorders>
            <w:shd w:val="clear" w:color="000000" w:fill="A8D48A"/>
            <w:noWrap/>
            <w:vAlign w:val="bottom"/>
            <w:hideMark/>
          </w:tcPr>
          <w:p w14:paraId="0645214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74.4%</w:t>
            </w:r>
          </w:p>
        </w:tc>
        <w:tc>
          <w:tcPr>
            <w:tcW w:w="924" w:type="dxa"/>
            <w:tcBorders>
              <w:top w:val="single" w:sz="4" w:space="0" w:color="auto"/>
              <w:left w:val="single" w:sz="4" w:space="0" w:color="auto"/>
              <w:bottom w:val="single" w:sz="4" w:space="0" w:color="auto"/>
              <w:right w:val="single" w:sz="4" w:space="0" w:color="auto"/>
            </w:tcBorders>
            <w:shd w:val="clear" w:color="000000" w:fill="BCDA8E"/>
            <w:noWrap/>
            <w:vAlign w:val="bottom"/>
            <w:hideMark/>
          </w:tcPr>
          <w:p w14:paraId="2519B56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21.5%</w:t>
            </w:r>
          </w:p>
        </w:tc>
        <w:tc>
          <w:tcPr>
            <w:tcW w:w="924"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14:paraId="6651BEE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0.6%</w:t>
            </w:r>
          </w:p>
        </w:tc>
        <w:tc>
          <w:tcPr>
            <w:tcW w:w="924" w:type="dxa"/>
            <w:tcBorders>
              <w:top w:val="single" w:sz="4" w:space="0" w:color="auto"/>
              <w:left w:val="single" w:sz="4" w:space="0" w:color="auto"/>
              <w:bottom w:val="single" w:sz="4" w:space="0" w:color="auto"/>
              <w:right w:val="single" w:sz="4" w:space="0" w:color="auto"/>
            </w:tcBorders>
            <w:shd w:val="clear" w:color="000000" w:fill="D1E193"/>
            <w:noWrap/>
            <w:vAlign w:val="bottom"/>
            <w:hideMark/>
          </w:tcPr>
          <w:p w14:paraId="6915BFD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26D9B1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1E357C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9AA933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ADD68B"/>
            <w:noWrap/>
            <w:vAlign w:val="bottom"/>
            <w:hideMark/>
          </w:tcPr>
          <w:p w14:paraId="2FDF228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w:t>
            </w:r>
          </w:p>
        </w:tc>
      </w:tr>
      <w:tr w:rsidR="004F1CEA" w:rsidRPr="004F1CEA" w14:paraId="7F40EBEE"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1ED2F4DC"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Bridgeport</w:t>
            </w:r>
          </w:p>
        </w:tc>
        <w:tc>
          <w:tcPr>
            <w:tcW w:w="925" w:type="dxa"/>
            <w:tcBorders>
              <w:top w:val="single" w:sz="4" w:space="0" w:color="auto"/>
              <w:left w:val="single" w:sz="4" w:space="0" w:color="auto"/>
              <w:bottom w:val="single" w:sz="4" w:space="0" w:color="auto"/>
              <w:right w:val="single" w:sz="4" w:space="0" w:color="auto"/>
            </w:tcBorders>
            <w:shd w:val="clear" w:color="000000" w:fill="CADF91"/>
            <w:noWrap/>
            <w:vAlign w:val="bottom"/>
            <w:hideMark/>
          </w:tcPr>
          <w:p w14:paraId="1E0850C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64.3%</w:t>
            </w:r>
          </w:p>
        </w:tc>
        <w:tc>
          <w:tcPr>
            <w:tcW w:w="924" w:type="dxa"/>
            <w:tcBorders>
              <w:top w:val="single" w:sz="4" w:space="0" w:color="auto"/>
              <w:left w:val="single" w:sz="4" w:space="0" w:color="auto"/>
              <w:bottom w:val="single" w:sz="4" w:space="0" w:color="auto"/>
              <w:right w:val="single" w:sz="4" w:space="0" w:color="auto"/>
            </w:tcBorders>
            <w:shd w:val="clear" w:color="000000" w:fill="AED68B"/>
            <w:noWrap/>
            <w:vAlign w:val="bottom"/>
            <w:hideMark/>
          </w:tcPr>
          <w:p w14:paraId="400E8B6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25.7%</w:t>
            </w:r>
          </w:p>
        </w:tc>
        <w:tc>
          <w:tcPr>
            <w:tcW w:w="924"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14:paraId="0906A3F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7.0%</w:t>
            </w:r>
          </w:p>
        </w:tc>
        <w:tc>
          <w:tcPr>
            <w:tcW w:w="924" w:type="dxa"/>
            <w:tcBorders>
              <w:top w:val="single" w:sz="4" w:space="0" w:color="auto"/>
              <w:left w:val="single" w:sz="4" w:space="0" w:color="auto"/>
              <w:bottom w:val="single" w:sz="4" w:space="0" w:color="auto"/>
              <w:right w:val="single" w:sz="4" w:space="0" w:color="auto"/>
            </w:tcBorders>
            <w:shd w:val="clear" w:color="000000" w:fill="F9ED9B"/>
            <w:noWrap/>
            <w:vAlign w:val="bottom"/>
            <w:hideMark/>
          </w:tcPr>
          <w:p w14:paraId="5ECE1C3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DEE595"/>
            <w:noWrap/>
            <w:vAlign w:val="bottom"/>
            <w:hideMark/>
          </w:tcPr>
          <w:p w14:paraId="241E4F9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9E112C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7ED9B"/>
            <w:noWrap/>
            <w:vAlign w:val="bottom"/>
            <w:hideMark/>
          </w:tcPr>
          <w:p w14:paraId="0A992BF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A9D48A"/>
            <w:noWrap/>
            <w:vAlign w:val="bottom"/>
            <w:hideMark/>
          </w:tcPr>
          <w:p w14:paraId="3139536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2.4%</w:t>
            </w:r>
          </w:p>
        </w:tc>
      </w:tr>
      <w:tr w:rsidR="004F1CEA" w:rsidRPr="004F1CEA" w14:paraId="66B17F5A"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78A80A0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Walker</w:t>
            </w:r>
          </w:p>
        </w:tc>
        <w:tc>
          <w:tcPr>
            <w:tcW w:w="925" w:type="dxa"/>
            <w:tcBorders>
              <w:top w:val="single" w:sz="4" w:space="0" w:color="auto"/>
              <w:left w:val="single" w:sz="4" w:space="0" w:color="auto"/>
              <w:bottom w:val="single" w:sz="4" w:space="0" w:color="auto"/>
              <w:right w:val="single" w:sz="4" w:space="0" w:color="auto"/>
            </w:tcBorders>
            <w:shd w:val="clear" w:color="000000" w:fill="94CE86"/>
            <w:noWrap/>
            <w:vAlign w:val="bottom"/>
            <w:hideMark/>
          </w:tcPr>
          <w:p w14:paraId="6195EFC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80.6%</w:t>
            </w:r>
          </w:p>
        </w:tc>
        <w:tc>
          <w:tcPr>
            <w:tcW w:w="924" w:type="dxa"/>
            <w:tcBorders>
              <w:top w:val="single" w:sz="4" w:space="0" w:color="auto"/>
              <w:left w:val="single" w:sz="4" w:space="0" w:color="auto"/>
              <w:bottom w:val="single" w:sz="4" w:space="0" w:color="auto"/>
              <w:right w:val="single" w:sz="4" w:space="0" w:color="auto"/>
            </w:tcBorders>
            <w:shd w:val="clear" w:color="000000" w:fill="E4E797"/>
            <w:noWrap/>
            <w:vAlign w:val="bottom"/>
            <w:hideMark/>
          </w:tcPr>
          <w:p w14:paraId="501CB6E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9.7%</w:t>
            </w:r>
          </w:p>
        </w:tc>
        <w:tc>
          <w:tcPr>
            <w:tcW w:w="924"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14:paraId="78A0ACC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6.9%</w:t>
            </w:r>
          </w:p>
        </w:tc>
        <w:tc>
          <w:tcPr>
            <w:tcW w:w="924" w:type="dxa"/>
            <w:tcBorders>
              <w:top w:val="single" w:sz="4" w:space="0" w:color="auto"/>
              <w:left w:val="single" w:sz="4" w:space="0" w:color="auto"/>
              <w:bottom w:val="single" w:sz="4" w:space="0" w:color="auto"/>
              <w:right w:val="single" w:sz="4" w:space="0" w:color="auto"/>
            </w:tcBorders>
            <w:shd w:val="clear" w:color="000000" w:fill="EFEA99"/>
            <w:noWrap/>
            <w:vAlign w:val="bottom"/>
            <w:hideMark/>
          </w:tcPr>
          <w:p w14:paraId="4712373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AFD68C"/>
            <w:noWrap/>
            <w:vAlign w:val="bottom"/>
            <w:hideMark/>
          </w:tcPr>
          <w:p w14:paraId="20DD5E3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F6EC9A"/>
            <w:noWrap/>
            <w:vAlign w:val="bottom"/>
            <w:hideMark/>
          </w:tcPr>
          <w:p w14:paraId="677391D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7AF7BC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C0DB8F"/>
            <w:noWrap/>
            <w:vAlign w:val="bottom"/>
            <w:hideMark/>
          </w:tcPr>
          <w:p w14:paraId="022BD5B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w:t>
            </w:r>
          </w:p>
        </w:tc>
      </w:tr>
      <w:tr w:rsidR="004F1CEA" w:rsidRPr="004F1CEA" w14:paraId="52D36908"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426F854D"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Coleville</w:t>
            </w:r>
          </w:p>
        </w:tc>
        <w:tc>
          <w:tcPr>
            <w:tcW w:w="925" w:type="dxa"/>
            <w:tcBorders>
              <w:top w:val="single" w:sz="4" w:space="0" w:color="auto"/>
              <w:left w:val="single" w:sz="4" w:space="0" w:color="auto"/>
              <w:bottom w:val="single" w:sz="4" w:space="0" w:color="auto"/>
              <w:right w:val="single" w:sz="4" w:space="0" w:color="auto"/>
            </w:tcBorders>
            <w:shd w:val="clear" w:color="000000" w:fill="B7D98D"/>
            <w:noWrap/>
            <w:vAlign w:val="bottom"/>
            <w:hideMark/>
          </w:tcPr>
          <w:p w14:paraId="4B59B12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70.1%</w:t>
            </w:r>
          </w:p>
        </w:tc>
        <w:tc>
          <w:tcPr>
            <w:tcW w:w="924" w:type="dxa"/>
            <w:tcBorders>
              <w:top w:val="single" w:sz="4" w:space="0" w:color="auto"/>
              <w:left w:val="single" w:sz="4" w:space="0" w:color="auto"/>
              <w:bottom w:val="single" w:sz="4" w:space="0" w:color="auto"/>
              <w:right w:val="single" w:sz="4" w:space="0" w:color="auto"/>
            </w:tcBorders>
            <w:shd w:val="clear" w:color="000000" w:fill="BADA8E"/>
            <w:noWrap/>
            <w:vAlign w:val="bottom"/>
            <w:hideMark/>
          </w:tcPr>
          <w:p w14:paraId="4AED879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22.2%</w:t>
            </w:r>
          </w:p>
        </w:tc>
        <w:tc>
          <w:tcPr>
            <w:tcW w:w="924" w:type="dxa"/>
            <w:tcBorders>
              <w:top w:val="single" w:sz="4" w:space="0" w:color="auto"/>
              <w:left w:val="single" w:sz="4" w:space="0" w:color="auto"/>
              <w:bottom w:val="single" w:sz="4" w:space="0" w:color="auto"/>
              <w:right w:val="single" w:sz="4" w:space="0" w:color="auto"/>
            </w:tcBorders>
            <w:shd w:val="clear" w:color="000000" w:fill="EDEA99"/>
            <w:noWrap/>
            <w:vAlign w:val="bottom"/>
            <w:hideMark/>
          </w:tcPr>
          <w:p w14:paraId="1576CF8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w:t>
            </w:r>
          </w:p>
        </w:tc>
        <w:tc>
          <w:tcPr>
            <w:tcW w:w="924" w:type="dxa"/>
            <w:tcBorders>
              <w:top w:val="single" w:sz="4" w:space="0" w:color="auto"/>
              <w:left w:val="single" w:sz="4" w:space="0" w:color="auto"/>
              <w:bottom w:val="single" w:sz="4" w:space="0" w:color="auto"/>
              <w:right w:val="single" w:sz="4" w:space="0" w:color="auto"/>
            </w:tcBorders>
            <w:shd w:val="clear" w:color="000000" w:fill="BFDB8F"/>
            <w:noWrap/>
            <w:vAlign w:val="bottom"/>
            <w:hideMark/>
          </w:tcPr>
          <w:p w14:paraId="0A04E9B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987636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0.8%</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9FE4B2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14:paraId="0B95E91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9BD087"/>
            <w:noWrap/>
            <w:vAlign w:val="bottom"/>
            <w:hideMark/>
          </w:tcPr>
          <w:p w14:paraId="111AF91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w:t>
            </w:r>
          </w:p>
        </w:tc>
      </w:tr>
      <w:tr w:rsidR="004F1CEA" w:rsidRPr="004F1CEA" w14:paraId="64B37AD6"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13714B2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Topaz</w:t>
            </w:r>
          </w:p>
        </w:tc>
        <w:tc>
          <w:tcPr>
            <w:tcW w:w="925"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14:paraId="7C5CB23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50.0%</w:t>
            </w:r>
          </w:p>
        </w:tc>
        <w:tc>
          <w:tcPr>
            <w:tcW w:w="92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2DD7C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48.0%</w:t>
            </w:r>
          </w:p>
        </w:tc>
        <w:tc>
          <w:tcPr>
            <w:tcW w:w="924" w:type="dxa"/>
            <w:tcBorders>
              <w:top w:val="single" w:sz="4" w:space="0" w:color="auto"/>
              <w:left w:val="single" w:sz="4" w:space="0" w:color="auto"/>
              <w:bottom w:val="single" w:sz="4" w:space="0" w:color="auto"/>
              <w:right w:val="single" w:sz="4" w:space="0" w:color="auto"/>
            </w:tcBorders>
            <w:shd w:val="clear" w:color="000000" w:fill="EEEA99"/>
            <w:noWrap/>
            <w:vAlign w:val="bottom"/>
            <w:hideMark/>
          </w:tcPr>
          <w:p w14:paraId="78BBA11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11EF6B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BEBE04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307480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96203C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038236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r>
      <w:tr w:rsidR="004F1CEA" w:rsidRPr="004F1CEA" w14:paraId="6CA1D9F4" w14:textId="77777777"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14:paraId="547C621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25" w:type="dxa"/>
            <w:tcBorders>
              <w:top w:val="nil"/>
              <w:left w:val="nil"/>
              <w:bottom w:val="single" w:sz="4" w:space="0" w:color="auto"/>
              <w:right w:val="nil"/>
            </w:tcBorders>
            <w:shd w:val="clear" w:color="auto" w:fill="auto"/>
            <w:noWrap/>
            <w:vAlign w:val="bottom"/>
            <w:hideMark/>
          </w:tcPr>
          <w:p w14:paraId="42CB2FD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07F6589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10B26A4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27A33D0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3C69AB6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3CE0A70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11742B2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14:paraId="30A95EA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08569723"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18334DF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of CDPs</w:t>
            </w:r>
          </w:p>
        </w:tc>
        <w:tc>
          <w:tcPr>
            <w:tcW w:w="925"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14:paraId="0341EA6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76.1%</w:t>
            </w:r>
          </w:p>
        </w:tc>
        <w:tc>
          <w:tcPr>
            <w:tcW w:w="924"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14:paraId="12CA085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16.5%</w:t>
            </w:r>
          </w:p>
        </w:tc>
        <w:tc>
          <w:tcPr>
            <w:tcW w:w="924" w:type="dxa"/>
            <w:tcBorders>
              <w:top w:val="single" w:sz="4" w:space="0" w:color="auto"/>
              <w:left w:val="single" w:sz="4" w:space="0" w:color="auto"/>
              <w:bottom w:val="single" w:sz="4" w:space="0" w:color="auto"/>
              <w:right w:val="single" w:sz="4" w:space="0" w:color="auto"/>
            </w:tcBorders>
            <w:shd w:val="clear" w:color="000000" w:fill="DFE596"/>
            <w:noWrap/>
            <w:vAlign w:val="bottom"/>
            <w:hideMark/>
          </w:tcPr>
          <w:p w14:paraId="6BAF082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3.6%</w:t>
            </w:r>
          </w:p>
        </w:tc>
        <w:tc>
          <w:tcPr>
            <w:tcW w:w="924" w:type="dxa"/>
            <w:tcBorders>
              <w:top w:val="single" w:sz="4" w:space="0" w:color="auto"/>
              <w:left w:val="single" w:sz="4" w:space="0" w:color="auto"/>
              <w:bottom w:val="single" w:sz="4" w:space="0" w:color="auto"/>
              <w:right w:val="single" w:sz="4" w:space="0" w:color="auto"/>
            </w:tcBorders>
            <w:shd w:val="clear" w:color="000000" w:fill="D8E394"/>
            <w:noWrap/>
            <w:vAlign w:val="bottom"/>
            <w:hideMark/>
          </w:tcPr>
          <w:p w14:paraId="34D8145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w:t>
            </w:r>
          </w:p>
        </w:tc>
        <w:tc>
          <w:tcPr>
            <w:tcW w:w="924" w:type="dxa"/>
            <w:tcBorders>
              <w:top w:val="single" w:sz="4" w:space="0" w:color="auto"/>
              <w:left w:val="single" w:sz="4" w:space="0" w:color="auto"/>
              <w:bottom w:val="single" w:sz="4" w:space="0" w:color="auto"/>
              <w:right w:val="single" w:sz="4" w:space="0" w:color="auto"/>
            </w:tcBorders>
            <w:shd w:val="clear" w:color="000000" w:fill="D8E394"/>
            <w:noWrap/>
            <w:vAlign w:val="bottom"/>
            <w:hideMark/>
          </w:tcPr>
          <w:p w14:paraId="6090F73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F9ED9B"/>
            <w:noWrap/>
            <w:vAlign w:val="bottom"/>
            <w:hideMark/>
          </w:tcPr>
          <w:p w14:paraId="3467E55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EEEA99"/>
            <w:noWrap/>
            <w:vAlign w:val="bottom"/>
            <w:hideMark/>
          </w:tcPr>
          <w:p w14:paraId="10D74DC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0.4%</w:t>
            </w:r>
          </w:p>
        </w:tc>
        <w:tc>
          <w:tcPr>
            <w:tcW w:w="924" w:type="dxa"/>
            <w:tcBorders>
              <w:top w:val="single" w:sz="4" w:space="0" w:color="auto"/>
              <w:left w:val="single" w:sz="4" w:space="0" w:color="auto"/>
              <w:bottom w:val="single" w:sz="4" w:space="0" w:color="auto"/>
              <w:right w:val="single" w:sz="4" w:space="0" w:color="auto"/>
            </w:tcBorders>
            <w:shd w:val="clear" w:color="000000" w:fill="B4D88C"/>
            <w:noWrap/>
            <w:vAlign w:val="bottom"/>
            <w:hideMark/>
          </w:tcPr>
          <w:p w14:paraId="2ED04E3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w:t>
            </w:r>
          </w:p>
        </w:tc>
      </w:tr>
      <w:tr w:rsidR="004F1CEA" w:rsidRPr="004F1CEA" w14:paraId="188EF144" w14:textId="77777777"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14:paraId="7CF0E1C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25" w:type="dxa"/>
            <w:tcBorders>
              <w:top w:val="nil"/>
              <w:left w:val="nil"/>
              <w:bottom w:val="single" w:sz="4" w:space="0" w:color="auto"/>
              <w:right w:val="nil"/>
            </w:tcBorders>
            <w:shd w:val="clear" w:color="auto" w:fill="auto"/>
            <w:noWrap/>
            <w:vAlign w:val="bottom"/>
            <w:hideMark/>
          </w:tcPr>
          <w:p w14:paraId="40131EE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3895955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5D8F8D3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67284F1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106E16D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6A6F23E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44C0262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14:paraId="1A85C2C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6B2B8496"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3ECA796C"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CDPs + Town</w:t>
            </w:r>
          </w:p>
        </w:tc>
        <w:tc>
          <w:tcPr>
            <w:tcW w:w="925" w:type="dxa"/>
            <w:tcBorders>
              <w:top w:val="single" w:sz="4" w:space="0" w:color="auto"/>
              <w:left w:val="single" w:sz="4" w:space="0" w:color="auto"/>
              <w:bottom w:val="single" w:sz="4" w:space="0" w:color="auto"/>
              <w:right w:val="single" w:sz="4" w:space="0" w:color="auto"/>
            </w:tcBorders>
            <w:shd w:val="clear" w:color="000000" w:fill="BEDB8F"/>
            <w:noWrap/>
            <w:vAlign w:val="bottom"/>
            <w:hideMark/>
          </w:tcPr>
          <w:p w14:paraId="78A0F52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67.8%</w:t>
            </w:r>
          </w:p>
        </w:tc>
        <w:tc>
          <w:tcPr>
            <w:tcW w:w="924" w:type="dxa"/>
            <w:tcBorders>
              <w:top w:val="single" w:sz="4" w:space="0" w:color="auto"/>
              <w:left w:val="single" w:sz="4" w:space="0" w:color="auto"/>
              <w:bottom w:val="single" w:sz="4" w:space="0" w:color="auto"/>
              <w:right w:val="single" w:sz="4" w:space="0" w:color="auto"/>
            </w:tcBorders>
            <w:shd w:val="clear" w:color="000000" w:fill="AAD58A"/>
            <w:noWrap/>
            <w:vAlign w:val="bottom"/>
            <w:hideMark/>
          </w:tcPr>
          <w:p w14:paraId="51E9DFF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26.9%</w:t>
            </w:r>
          </w:p>
        </w:tc>
        <w:tc>
          <w:tcPr>
            <w:tcW w:w="924" w:type="dxa"/>
            <w:tcBorders>
              <w:top w:val="single" w:sz="4" w:space="0" w:color="auto"/>
              <w:left w:val="single" w:sz="4" w:space="0" w:color="auto"/>
              <w:bottom w:val="single" w:sz="4" w:space="0" w:color="auto"/>
              <w:right w:val="single" w:sz="4" w:space="0" w:color="auto"/>
            </w:tcBorders>
            <w:shd w:val="clear" w:color="000000" w:fill="F1EB99"/>
            <w:noWrap/>
            <w:vAlign w:val="bottom"/>
            <w:hideMark/>
          </w:tcPr>
          <w:p w14:paraId="1441D7E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c>
          <w:tcPr>
            <w:tcW w:w="924" w:type="dxa"/>
            <w:tcBorders>
              <w:top w:val="single" w:sz="4" w:space="0" w:color="auto"/>
              <w:left w:val="single" w:sz="4" w:space="0" w:color="auto"/>
              <w:bottom w:val="single" w:sz="4" w:space="0" w:color="auto"/>
              <w:right w:val="single" w:sz="4" w:space="0" w:color="auto"/>
            </w:tcBorders>
            <w:shd w:val="clear" w:color="000000" w:fill="CADF91"/>
            <w:noWrap/>
            <w:vAlign w:val="bottom"/>
            <w:hideMark/>
          </w:tcPr>
          <w:p w14:paraId="3D03A1B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924" w:type="dxa"/>
            <w:tcBorders>
              <w:top w:val="single" w:sz="4" w:space="0" w:color="auto"/>
              <w:left w:val="single" w:sz="4" w:space="0" w:color="auto"/>
              <w:bottom w:val="single" w:sz="4" w:space="0" w:color="auto"/>
              <w:right w:val="single" w:sz="4" w:space="0" w:color="auto"/>
            </w:tcBorders>
            <w:shd w:val="clear" w:color="000000" w:fill="C7DE90"/>
            <w:noWrap/>
            <w:vAlign w:val="bottom"/>
            <w:hideMark/>
          </w:tcPr>
          <w:p w14:paraId="4F5FAE3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14:paraId="24AA56E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24" w:type="dxa"/>
            <w:tcBorders>
              <w:top w:val="single" w:sz="4" w:space="0" w:color="auto"/>
              <w:left w:val="single" w:sz="4" w:space="0" w:color="auto"/>
              <w:bottom w:val="single" w:sz="4" w:space="0" w:color="auto"/>
              <w:right w:val="single" w:sz="4" w:space="0" w:color="auto"/>
            </w:tcBorders>
            <w:shd w:val="clear" w:color="000000" w:fill="F4EC9A"/>
            <w:noWrap/>
            <w:vAlign w:val="bottom"/>
            <w:hideMark/>
          </w:tcPr>
          <w:p w14:paraId="35D5CD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14:paraId="6629C30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r>
      <w:tr w:rsidR="004F1CEA" w:rsidRPr="004F1CEA" w14:paraId="0AA2E075" w14:textId="77777777" w:rsidTr="004F1CEA">
        <w:trPr>
          <w:trHeight w:val="300"/>
        </w:trPr>
        <w:tc>
          <w:tcPr>
            <w:tcW w:w="1957" w:type="dxa"/>
            <w:tcBorders>
              <w:top w:val="nil"/>
              <w:left w:val="single" w:sz="4" w:space="0" w:color="auto"/>
              <w:bottom w:val="single" w:sz="4" w:space="0" w:color="auto"/>
              <w:right w:val="nil"/>
            </w:tcBorders>
            <w:shd w:val="clear" w:color="auto" w:fill="auto"/>
            <w:noWrap/>
            <w:vAlign w:val="bottom"/>
            <w:hideMark/>
          </w:tcPr>
          <w:p w14:paraId="7F8A4C4D"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25" w:type="dxa"/>
            <w:tcBorders>
              <w:top w:val="nil"/>
              <w:left w:val="nil"/>
              <w:bottom w:val="single" w:sz="4" w:space="0" w:color="auto"/>
              <w:right w:val="nil"/>
            </w:tcBorders>
            <w:shd w:val="clear" w:color="auto" w:fill="auto"/>
            <w:noWrap/>
            <w:vAlign w:val="bottom"/>
            <w:hideMark/>
          </w:tcPr>
          <w:p w14:paraId="779E0FB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05CD04E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254187F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5E096F6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2B03EBD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507B184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nil"/>
            </w:tcBorders>
            <w:shd w:val="clear" w:color="auto" w:fill="auto"/>
            <w:noWrap/>
            <w:vAlign w:val="bottom"/>
            <w:hideMark/>
          </w:tcPr>
          <w:p w14:paraId="1D603E9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924" w:type="dxa"/>
            <w:tcBorders>
              <w:top w:val="nil"/>
              <w:left w:val="nil"/>
              <w:bottom w:val="single" w:sz="4" w:space="0" w:color="auto"/>
              <w:right w:val="single" w:sz="4" w:space="0" w:color="auto"/>
            </w:tcBorders>
            <w:shd w:val="clear" w:color="auto" w:fill="auto"/>
            <w:noWrap/>
            <w:vAlign w:val="bottom"/>
            <w:hideMark/>
          </w:tcPr>
          <w:p w14:paraId="104D903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30DC7228" w14:textId="77777777" w:rsidTr="004F1CEA">
        <w:trPr>
          <w:trHeight w:val="300"/>
        </w:trPr>
        <w:tc>
          <w:tcPr>
            <w:tcW w:w="1957" w:type="dxa"/>
            <w:tcBorders>
              <w:top w:val="nil"/>
              <w:left w:val="single" w:sz="4" w:space="0" w:color="auto"/>
              <w:bottom w:val="single" w:sz="4" w:space="0" w:color="auto"/>
              <w:right w:val="single" w:sz="4" w:space="0" w:color="auto"/>
            </w:tcBorders>
            <w:shd w:val="clear" w:color="auto" w:fill="auto"/>
            <w:noWrap/>
            <w:vAlign w:val="bottom"/>
            <w:hideMark/>
          </w:tcPr>
          <w:p w14:paraId="2589A4C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 - CDPs &amp; Town</w:t>
            </w:r>
          </w:p>
        </w:tc>
        <w:tc>
          <w:tcPr>
            <w:tcW w:w="925" w:type="dxa"/>
            <w:tcBorders>
              <w:top w:val="single" w:sz="4" w:space="0" w:color="auto"/>
              <w:left w:val="single" w:sz="4" w:space="0" w:color="auto"/>
              <w:bottom w:val="single" w:sz="4" w:space="0" w:color="auto"/>
              <w:right w:val="single" w:sz="4" w:space="0" w:color="auto"/>
            </w:tcBorders>
            <w:shd w:val="clear" w:color="000000" w:fill="A1D288"/>
            <w:noWrap/>
            <w:vAlign w:val="bottom"/>
            <w:hideMark/>
          </w:tcPr>
          <w:p w14:paraId="2C820EB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76.8%</w:t>
            </w:r>
          </w:p>
        </w:tc>
        <w:tc>
          <w:tcPr>
            <w:tcW w:w="924" w:type="dxa"/>
            <w:tcBorders>
              <w:top w:val="single" w:sz="4" w:space="0" w:color="auto"/>
              <w:left w:val="single" w:sz="4" w:space="0" w:color="auto"/>
              <w:bottom w:val="single" w:sz="4" w:space="0" w:color="auto"/>
              <w:right w:val="single" w:sz="4" w:space="0" w:color="auto"/>
            </w:tcBorders>
            <w:shd w:val="clear" w:color="000000" w:fill="CBDF91"/>
            <w:noWrap/>
            <w:vAlign w:val="bottom"/>
            <w:hideMark/>
          </w:tcPr>
          <w:p w14:paraId="147BB92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17.1%</w:t>
            </w:r>
          </w:p>
        </w:tc>
        <w:tc>
          <w:tcPr>
            <w:tcW w:w="924" w:type="dxa"/>
            <w:tcBorders>
              <w:top w:val="single" w:sz="4" w:space="0" w:color="auto"/>
              <w:left w:val="single" w:sz="4" w:space="0" w:color="auto"/>
              <w:bottom w:val="single" w:sz="4" w:space="0" w:color="auto"/>
              <w:right w:val="single" w:sz="4" w:space="0" w:color="auto"/>
            </w:tcBorders>
            <w:shd w:val="clear" w:color="000000" w:fill="EBE998"/>
            <w:noWrap/>
            <w:vAlign w:val="bottom"/>
            <w:hideMark/>
          </w:tcPr>
          <w:p w14:paraId="697B073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2.4%</w:t>
            </w:r>
          </w:p>
        </w:tc>
        <w:tc>
          <w:tcPr>
            <w:tcW w:w="924"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14:paraId="2FD111C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w:t>
            </w:r>
          </w:p>
        </w:tc>
        <w:tc>
          <w:tcPr>
            <w:tcW w:w="924" w:type="dxa"/>
            <w:tcBorders>
              <w:top w:val="single" w:sz="4" w:space="0" w:color="auto"/>
              <w:left w:val="single" w:sz="4" w:space="0" w:color="auto"/>
              <w:bottom w:val="single" w:sz="4" w:space="0" w:color="auto"/>
              <w:right w:val="single" w:sz="4" w:space="0" w:color="auto"/>
            </w:tcBorders>
            <w:shd w:val="clear" w:color="000000" w:fill="C3DC90"/>
            <w:noWrap/>
            <w:vAlign w:val="bottom"/>
            <w:hideMark/>
          </w:tcPr>
          <w:p w14:paraId="02A4446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24" w:type="dxa"/>
            <w:tcBorders>
              <w:top w:val="single" w:sz="4" w:space="0" w:color="auto"/>
              <w:left w:val="single" w:sz="4" w:space="0" w:color="auto"/>
              <w:bottom w:val="single" w:sz="4" w:space="0" w:color="auto"/>
              <w:right w:val="single" w:sz="4" w:space="0" w:color="auto"/>
            </w:tcBorders>
            <w:shd w:val="clear" w:color="000000" w:fill="F4EC9A"/>
            <w:noWrap/>
            <w:vAlign w:val="bottom"/>
            <w:hideMark/>
          </w:tcPr>
          <w:p w14:paraId="72E205D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0.2%</w:t>
            </w:r>
          </w:p>
        </w:tc>
        <w:tc>
          <w:tcPr>
            <w:tcW w:w="924"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406760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24" w:type="dxa"/>
            <w:tcBorders>
              <w:top w:val="single" w:sz="4" w:space="0" w:color="auto"/>
              <w:left w:val="single" w:sz="4" w:space="0" w:color="auto"/>
              <w:bottom w:val="single" w:sz="4" w:space="0" w:color="auto"/>
              <w:right w:val="single" w:sz="4" w:space="0" w:color="auto"/>
            </w:tcBorders>
            <w:shd w:val="clear" w:color="000000" w:fill="C2DC90"/>
            <w:noWrap/>
            <w:vAlign w:val="bottom"/>
            <w:hideMark/>
          </w:tcPr>
          <w:p w14:paraId="66E9C2A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r>
    </w:tbl>
    <w:p w14:paraId="14142FF1" w14:textId="77777777" w:rsidR="004F1CEA" w:rsidRPr="004F1CEA" w:rsidRDefault="004F1CEA" w:rsidP="004F1CEA">
      <w:pPr>
        <w:spacing w:line="280" w:lineRule="atLeast"/>
      </w:pPr>
      <w:r w:rsidRPr="004F1CEA">
        <w:t>Source: US Census</w:t>
      </w:r>
    </w:p>
    <w:p w14:paraId="657FE7FF" w14:textId="77777777" w:rsidR="004F1CEA" w:rsidRPr="004F1CEA" w:rsidRDefault="004F1CEA" w:rsidP="004F1CEA"/>
    <w:p w14:paraId="76F40B5C" w14:textId="77777777" w:rsidR="00682AA1" w:rsidRPr="004F1CEA" w:rsidRDefault="00682AA1" w:rsidP="00682AA1">
      <w:pPr>
        <w:spacing w:after="0" w:line="280" w:lineRule="atLeast"/>
        <w:jc w:val="both"/>
        <w:rPr>
          <w:rFonts w:eastAsia="Times New Roman" w:cs="Times New Roman"/>
        </w:rPr>
      </w:pPr>
    </w:p>
    <w:p w14:paraId="0B64AD94" w14:textId="77777777" w:rsidR="00682AA1" w:rsidRPr="004F1CEA" w:rsidRDefault="00682AA1" w:rsidP="00682AA1">
      <w:pPr>
        <w:spacing w:after="0" w:line="280" w:lineRule="atLeast"/>
        <w:jc w:val="both"/>
      </w:pPr>
      <w:r w:rsidRPr="004F1CEA">
        <w:rPr>
          <w:rFonts w:eastAsia="Times New Roman" w:cs="Times New Roman"/>
        </w:rPr>
        <w:t xml:space="preserve">The percentage of the population identifying themselves as Hispanic or Latino, of whatever race, increased in the unincorporated area, rising from 12.4 percent of the population in 2000 to 16.6 percent of the population in 2010 (Table 2 &amp; 3), a numerical increase of 291 persons, from 699 in 2000 to 990 in 2010. </w:t>
      </w:r>
      <w:r w:rsidRPr="004F1CEA">
        <w:t>During this same period, the Hispanic/Latino population in Mammoth Lakes increased from 22.2 percent of the town's population in 2000 to 33.7 percent of the town's population in 2010.  The State Department of Finance is projecting that the Hispanic population in the County will rise dramatically over the next forty years, to 30 percent of the total County population in 2020 and 43 percent of the total in 2060 (see Table 4).  Although Mammoth Lakes has a large Hispanic population, the rise in the Hispanic population could impact housing in the unincorporated area, as many of the Hispanic population tend to be lower-paid service workers in need of low to moderate-income housing.</w:t>
      </w:r>
    </w:p>
    <w:p w14:paraId="3063C2A2" w14:textId="77777777" w:rsidR="00682AA1" w:rsidRPr="004F1CEA" w:rsidRDefault="00682AA1" w:rsidP="00682AA1">
      <w:pPr>
        <w:spacing w:after="0" w:line="280" w:lineRule="atLeast"/>
        <w:jc w:val="both"/>
      </w:pPr>
    </w:p>
    <w:p w14:paraId="7E2E9FB5" w14:textId="77777777" w:rsidR="004F1CEA" w:rsidRPr="004F1CEA" w:rsidRDefault="004F1CEA" w:rsidP="004F1CEA">
      <w:pPr>
        <w:spacing w:after="0" w:line="280" w:lineRule="atLeast"/>
        <w:rPr>
          <w:rFonts w:eastAsia="Times New Roman" w:cs="Times New Roman"/>
        </w:rPr>
      </w:pPr>
      <w:r w:rsidRPr="004F1CEA">
        <w:rPr>
          <w:rFonts w:eastAsia="Times New Roman" w:cs="Times New Roman"/>
        </w:rPr>
        <w:t>Table 4: Projected Population by Race</w:t>
      </w:r>
    </w:p>
    <w:p w14:paraId="5DB1E14E" w14:textId="77777777" w:rsidR="004F1CEA" w:rsidRPr="004F1CEA" w:rsidRDefault="004F1CEA" w:rsidP="004F1CEA">
      <w:pPr>
        <w:spacing w:after="0" w:line="280" w:lineRule="atLeast"/>
        <w:jc w:val="both"/>
        <w:rPr>
          <w:rFonts w:eastAsia="Times New Roman" w:cs="Times New Roman"/>
        </w:rPr>
      </w:pPr>
    </w:p>
    <w:tbl>
      <w:tblPr>
        <w:tblW w:w="4579" w:type="dxa"/>
        <w:tblLook w:val="04A0" w:firstRow="1" w:lastRow="0" w:firstColumn="1" w:lastColumn="0" w:noHBand="0" w:noVBand="1"/>
      </w:tblPr>
      <w:tblGrid>
        <w:gridCol w:w="1699"/>
        <w:gridCol w:w="960"/>
        <w:gridCol w:w="960"/>
        <w:gridCol w:w="960"/>
      </w:tblGrid>
      <w:tr w:rsidR="004F1CEA" w:rsidRPr="004F1CEA" w14:paraId="03141541" w14:textId="77777777" w:rsidTr="004F1CEA">
        <w:trPr>
          <w:trHeight w:val="300"/>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D659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CF668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9C97D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78F9C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2060</w:t>
            </w:r>
          </w:p>
        </w:tc>
      </w:tr>
      <w:tr w:rsidR="004F1CEA" w:rsidRPr="004F1CEA" w14:paraId="1403EA78"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348001C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2DD02A3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15037</w:t>
            </w:r>
          </w:p>
        </w:tc>
        <w:tc>
          <w:tcPr>
            <w:tcW w:w="960" w:type="dxa"/>
            <w:tcBorders>
              <w:top w:val="nil"/>
              <w:left w:val="nil"/>
              <w:bottom w:val="single" w:sz="4" w:space="0" w:color="auto"/>
              <w:right w:val="single" w:sz="4" w:space="0" w:color="auto"/>
            </w:tcBorders>
            <w:shd w:val="clear" w:color="auto" w:fill="auto"/>
            <w:noWrap/>
            <w:vAlign w:val="bottom"/>
            <w:hideMark/>
          </w:tcPr>
          <w:p w14:paraId="25F0A6C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17614</w:t>
            </w:r>
          </w:p>
        </w:tc>
        <w:tc>
          <w:tcPr>
            <w:tcW w:w="960" w:type="dxa"/>
            <w:tcBorders>
              <w:top w:val="nil"/>
              <w:left w:val="nil"/>
              <w:bottom w:val="single" w:sz="4" w:space="0" w:color="auto"/>
              <w:right w:val="single" w:sz="4" w:space="0" w:color="auto"/>
            </w:tcBorders>
            <w:shd w:val="clear" w:color="auto" w:fill="auto"/>
            <w:noWrap/>
            <w:vAlign w:val="bottom"/>
            <w:hideMark/>
          </w:tcPr>
          <w:p w14:paraId="1C3ABA2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20755</w:t>
            </w:r>
          </w:p>
        </w:tc>
      </w:tr>
      <w:tr w:rsidR="004F1CEA" w:rsidRPr="004F1CEA" w14:paraId="29CEE571"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7546CCF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3831211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9695</w:t>
            </w:r>
          </w:p>
        </w:tc>
        <w:tc>
          <w:tcPr>
            <w:tcW w:w="960" w:type="dxa"/>
            <w:tcBorders>
              <w:top w:val="nil"/>
              <w:left w:val="nil"/>
              <w:bottom w:val="single" w:sz="4" w:space="0" w:color="auto"/>
              <w:right w:val="single" w:sz="4" w:space="0" w:color="auto"/>
            </w:tcBorders>
            <w:shd w:val="clear" w:color="auto" w:fill="auto"/>
            <w:noWrap/>
            <w:vAlign w:val="bottom"/>
            <w:hideMark/>
          </w:tcPr>
          <w:p w14:paraId="4FCFBD7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9897</w:t>
            </w:r>
          </w:p>
        </w:tc>
        <w:tc>
          <w:tcPr>
            <w:tcW w:w="960" w:type="dxa"/>
            <w:tcBorders>
              <w:top w:val="nil"/>
              <w:left w:val="nil"/>
              <w:bottom w:val="single" w:sz="4" w:space="0" w:color="auto"/>
              <w:right w:val="single" w:sz="4" w:space="0" w:color="auto"/>
            </w:tcBorders>
            <w:shd w:val="clear" w:color="auto" w:fill="auto"/>
            <w:noWrap/>
            <w:vAlign w:val="bottom"/>
            <w:hideMark/>
          </w:tcPr>
          <w:p w14:paraId="6FA50C1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10502</w:t>
            </w:r>
          </w:p>
        </w:tc>
      </w:tr>
      <w:tr w:rsidR="004F1CEA" w:rsidRPr="004F1CEA" w14:paraId="0FE898C0"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0144F45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Hispanic</w:t>
            </w:r>
          </w:p>
        </w:tc>
        <w:tc>
          <w:tcPr>
            <w:tcW w:w="960" w:type="dxa"/>
            <w:tcBorders>
              <w:top w:val="nil"/>
              <w:left w:val="nil"/>
              <w:bottom w:val="single" w:sz="4" w:space="0" w:color="auto"/>
              <w:right w:val="single" w:sz="4" w:space="0" w:color="auto"/>
            </w:tcBorders>
            <w:shd w:val="clear" w:color="auto" w:fill="auto"/>
            <w:noWrap/>
            <w:vAlign w:val="bottom"/>
            <w:hideMark/>
          </w:tcPr>
          <w:p w14:paraId="4D5EBB1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4614</w:t>
            </w:r>
          </w:p>
        </w:tc>
        <w:tc>
          <w:tcPr>
            <w:tcW w:w="960" w:type="dxa"/>
            <w:tcBorders>
              <w:top w:val="nil"/>
              <w:left w:val="nil"/>
              <w:bottom w:val="single" w:sz="4" w:space="0" w:color="auto"/>
              <w:right w:val="single" w:sz="4" w:space="0" w:color="auto"/>
            </w:tcBorders>
            <w:shd w:val="clear" w:color="auto" w:fill="auto"/>
            <w:noWrap/>
            <w:vAlign w:val="bottom"/>
            <w:hideMark/>
          </w:tcPr>
          <w:p w14:paraId="463B78F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6698</w:t>
            </w:r>
          </w:p>
        </w:tc>
        <w:tc>
          <w:tcPr>
            <w:tcW w:w="960" w:type="dxa"/>
            <w:tcBorders>
              <w:top w:val="nil"/>
              <w:left w:val="nil"/>
              <w:bottom w:val="single" w:sz="4" w:space="0" w:color="auto"/>
              <w:right w:val="single" w:sz="4" w:space="0" w:color="auto"/>
            </w:tcBorders>
            <w:shd w:val="clear" w:color="auto" w:fill="auto"/>
            <w:noWrap/>
            <w:vAlign w:val="bottom"/>
            <w:hideMark/>
          </w:tcPr>
          <w:p w14:paraId="729D198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8906</w:t>
            </w:r>
          </w:p>
        </w:tc>
      </w:tr>
      <w:tr w:rsidR="004F1CEA" w:rsidRPr="004F1CEA" w14:paraId="6C172431"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6938AF6D"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Asian</w:t>
            </w:r>
          </w:p>
        </w:tc>
        <w:tc>
          <w:tcPr>
            <w:tcW w:w="960" w:type="dxa"/>
            <w:tcBorders>
              <w:top w:val="nil"/>
              <w:left w:val="nil"/>
              <w:bottom w:val="single" w:sz="4" w:space="0" w:color="auto"/>
              <w:right w:val="single" w:sz="4" w:space="0" w:color="auto"/>
            </w:tcBorders>
            <w:shd w:val="clear" w:color="auto" w:fill="auto"/>
            <w:noWrap/>
            <w:vAlign w:val="bottom"/>
            <w:hideMark/>
          </w:tcPr>
          <w:p w14:paraId="3EAED2D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185</w:t>
            </w:r>
          </w:p>
        </w:tc>
        <w:tc>
          <w:tcPr>
            <w:tcW w:w="960" w:type="dxa"/>
            <w:tcBorders>
              <w:top w:val="nil"/>
              <w:left w:val="nil"/>
              <w:bottom w:val="single" w:sz="4" w:space="0" w:color="auto"/>
              <w:right w:val="single" w:sz="4" w:space="0" w:color="auto"/>
            </w:tcBorders>
            <w:shd w:val="clear" w:color="auto" w:fill="auto"/>
            <w:noWrap/>
            <w:vAlign w:val="bottom"/>
            <w:hideMark/>
          </w:tcPr>
          <w:p w14:paraId="53DB980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333</w:t>
            </w:r>
          </w:p>
        </w:tc>
        <w:tc>
          <w:tcPr>
            <w:tcW w:w="960" w:type="dxa"/>
            <w:tcBorders>
              <w:top w:val="nil"/>
              <w:left w:val="nil"/>
              <w:bottom w:val="single" w:sz="4" w:space="0" w:color="auto"/>
              <w:right w:val="single" w:sz="4" w:space="0" w:color="auto"/>
            </w:tcBorders>
            <w:shd w:val="clear" w:color="auto" w:fill="auto"/>
            <w:noWrap/>
            <w:vAlign w:val="bottom"/>
            <w:hideMark/>
          </w:tcPr>
          <w:p w14:paraId="2A647CD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544</w:t>
            </w:r>
          </w:p>
        </w:tc>
      </w:tr>
      <w:tr w:rsidR="004F1CEA" w:rsidRPr="004F1CEA" w14:paraId="5502C2FE"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4ED459F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Pacific Islander</w:t>
            </w:r>
          </w:p>
        </w:tc>
        <w:tc>
          <w:tcPr>
            <w:tcW w:w="960" w:type="dxa"/>
            <w:tcBorders>
              <w:top w:val="nil"/>
              <w:left w:val="nil"/>
              <w:bottom w:val="single" w:sz="4" w:space="0" w:color="auto"/>
              <w:right w:val="single" w:sz="4" w:space="0" w:color="auto"/>
            </w:tcBorders>
            <w:shd w:val="clear" w:color="auto" w:fill="auto"/>
            <w:noWrap/>
            <w:vAlign w:val="bottom"/>
            <w:hideMark/>
          </w:tcPr>
          <w:p w14:paraId="438B735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57D526C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273C728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w:t>
            </w:r>
          </w:p>
        </w:tc>
      </w:tr>
      <w:tr w:rsidR="004F1CEA" w:rsidRPr="004F1CEA" w14:paraId="1890F630"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65FF603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Black</w:t>
            </w:r>
          </w:p>
        </w:tc>
        <w:tc>
          <w:tcPr>
            <w:tcW w:w="960" w:type="dxa"/>
            <w:tcBorders>
              <w:top w:val="nil"/>
              <w:left w:val="nil"/>
              <w:bottom w:val="single" w:sz="4" w:space="0" w:color="auto"/>
              <w:right w:val="single" w:sz="4" w:space="0" w:color="auto"/>
            </w:tcBorders>
            <w:shd w:val="clear" w:color="auto" w:fill="auto"/>
            <w:noWrap/>
            <w:vAlign w:val="bottom"/>
            <w:hideMark/>
          </w:tcPr>
          <w:p w14:paraId="111B04E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14:paraId="54990E5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14:paraId="0EC78DA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68</w:t>
            </w:r>
          </w:p>
        </w:tc>
      </w:tr>
      <w:tr w:rsidR="004F1CEA" w:rsidRPr="004F1CEA" w14:paraId="2E9CE631"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0C4158B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American Indian</w:t>
            </w:r>
          </w:p>
        </w:tc>
        <w:tc>
          <w:tcPr>
            <w:tcW w:w="960" w:type="dxa"/>
            <w:tcBorders>
              <w:top w:val="nil"/>
              <w:left w:val="nil"/>
              <w:bottom w:val="single" w:sz="4" w:space="0" w:color="auto"/>
              <w:right w:val="single" w:sz="4" w:space="0" w:color="auto"/>
            </w:tcBorders>
            <w:shd w:val="clear" w:color="auto" w:fill="auto"/>
            <w:noWrap/>
            <w:vAlign w:val="bottom"/>
            <w:hideMark/>
          </w:tcPr>
          <w:p w14:paraId="41F5570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209</w:t>
            </w:r>
          </w:p>
        </w:tc>
        <w:tc>
          <w:tcPr>
            <w:tcW w:w="960" w:type="dxa"/>
            <w:tcBorders>
              <w:top w:val="nil"/>
              <w:left w:val="nil"/>
              <w:bottom w:val="single" w:sz="4" w:space="0" w:color="auto"/>
              <w:right w:val="single" w:sz="4" w:space="0" w:color="auto"/>
            </w:tcBorders>
            <w:shd w:val="clear" w:color="auto" w:fill="auto"/>
            <w:noWrap/>
            <w:vAlign w:val="bottom"/>
            <w:hideMark/>
          </w:tcPr>
          <w:p w14:paraId="7C1936C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223</w:t>
            </w:r>
          </w:p>
        </w:tc>
        <w:tc>
          <w:tcPr>
            <w:tcW w:w="960" w:type="dxa"/>
            <w:tcBorders>
              <w:top w:val="nil"/>
              <w:left w:val="nil"/>
              <w:bottom w:val="single" w:sz="4" w:space="0" w:color="auto"/>
              <w:right w:val="single" w:sz="4" w:space="0" w:color="auto"/>
            </w:tcBorders>
            <w:shd w:val="clear" w:color="auto" w:fill="auto"/>
            <w:noWrap/>
            <w:vAlign w:val="bottom"/>
            <w:hideMark/>
          </w:tcPr>
          <w:p w14:paraId="6E57852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244</w:t>
            </w:r>
          </w:p>
        </w:tc>
      </w:tr>
      <w:tr w:rsidR="004F1CEA" w:rsidRPr="004F1CEA" w14:paraId="2528596D"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5437AD5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Multi-race</w:t>
            </w:r>
          </w:p>
        </w:tc>
        <w:tc>
          <w:tcPr>
            <w:tcW w:w="960" w:type="dxa"/>
            <w:tcBorders>
              <w:top w:val="nil"/>
              <w:left w:val="nil"/>
              <w:bottom w:val="single" w:sz="4" w:space="0" w:color="auto"/>
              <w:right w:val="single" w:sz="4" w:space="0" w:color="auto"/>
            </w:tcBorders>
            <w:shd w:val="clear" w:color="auto" w:fill="auto"/>
            <w:noWrap/>
            <w:vAlign w:val="bottom"/>
            <w:hideMark/>
          </w:tcPr>
          <w:p w14:paraId="770267C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284</w:t>
            </w:r>
          </w:p>
        </w:tc>
        <w:tc>
          <w:tcPr>
            <w:tcW w:w="960" w:type="dxa"/>
            <w:tcBorders>
              <w:top w:val="nil"/>
              <w:left w:val="nil"/>
              <w:bottom w:val="single" w:sz="4" w:space="0" w:color="auto"/>
              <w:right w:val="single" w:sz="4" w:space="0" w:color="auto"/>
            </w:tcBorders>
            <w:shd w:val="clear" w:color="auto" w:fill="auto"/>
            <w:noWrap/>
            <w:vAlign w:val="bottom"/>
            <w:hideMark/>
          </w:tcPr>
          <w:p w14:paraId="32552B5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400</w:t>
            </w:r>
          </w:p>
        </w:tc>
        <w:tc>
          <w:tcPr>
            <w:tcW w:w="960" w:type="dxa"/>
            <w:tcBorders>
              <w:top w:val="nil"/>
              <w:left w:val="nil"/>
              <w:bottom w:val="single" w:sz="4" w:space="0" w:color="auto"/>
              <w:right w:val="single" w:sz="4" w:space="0" w:color="auto"/>
            </w:tcBorders>
            <w:shd w:val="clear" w:color="auto" w:fill="auto"/>
            <w:noWrap/>
            <w:vAlign w:val="bottom"/>
            <w:hideMark/>
          </w:tcPr>
          <w:p w14:paraId="086BA86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486</w:t>
            </w:r>
          </w:p>
        </w:tc>
      </w:tr>
      <w:tr w:rsidR="004F1CEA" w:rsidRPr="004F1CEA" w14:paraId="2FC223E9"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17FB748E"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Total</w:t>
            </w:r>
          </w:p>
        </w:tc>
        <w:tc>
          <w:tcPr>
            <w:tcW w:w="960" w:type="dxa"/>
            <w:tcBorders>
              <w:top w:val="nil"/>
              <w:left w:val="nil"/>
              <w:bottom w:val="single" w:sz="4" w:space="0" w:color="auto"/>
              <w:right w:val="single" w:sz="4" w:space="0" w:color="auto"/>
            </w:tcBorders>
            <w:shd w:val="clear" w:color="auto" w:fill="auto"/>
            <w:noWrap/>
            <w:vAlign w:val="bottom"/>
            <w:hideMark/>
          </w:tcPr>
          <w:p w14:paraId="24B329C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85687F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7AABE6C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r>
      <w:tr w:rsidR="004F1CEA" w:rsidRPr="004F1CEA" w14:paraId="03FC0FD0"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45E8689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White</w:t>
            </w:r>
          </w:p>
        </w:tc>
        <w:tc>
          <w:tcPr>
            <w:tcW w:w="960" w:type="dxa"/>
            <w:tcBorders>
              <w:top w:val="nil"/>
              <w:left w:val="nil"/>
              <w:bottom w:val="single" w:sz="4" w:space="0" w:color="auto"/>
              <w:right w:val="single" w:sz="4" w:space="0" w:color="auto"/>
            </w:tcBorders>
            <w:shd w:val="clear" w:color="auto" w:fill="auto"/>
            <w:noWrap/>
            <w:vAlign w:val="bottom"/>
            <w:hideMark/>
          </w:tcPr>
          <w:p w14:paraId="0001B65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64.5%</w:t>
            </w:r>
          </w:p>
        </w:tc>
        <w:tc>
          <w:tcPr>
            <w:tcW w:w="960" w:type="dxa"/>
            <w:tcBorders>
              <w:top w:val="nil"/>
              <w:left w:val="nil"/>
              <w:bottom w:val="single" w:sz="4" w:space="0" w:color="auto"/>
              <w:right w:val="single" w:sz="4" w:space="0" w:color="auto"/>
            </w:tcBorders>
            <w:shd w:val="clear" w:color="auto" w:fill="auto"/>
            <w:noWrap/>
            <w:vAlign w:val="bottom"/>
            <w:hideMark/>
          </w:tcPr>
          <w:p w14:paraId="5CBBD0C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56.2%</w:t>
            </w:r>
          </w:p>
        </w:tc>
        <w:tc>
          <w:tcPr>
            <w:tcW w:w="960" w:type="dxa"/>
            <w:tcBorders>
              <w:top w:val="nil"/>
              <w:left w:val="nil"/>
              <w:bottom w:val="single" w:sz="4" w:space="0" w:color="auto"/>
              <w:right w:val="single" w:sz="4" w:space="0" w:color="auto"/>
            </w:tcBorders>
            <w:shd w:val="clear" w:color="auto" w:fill="auto"/>
            <w:noWrap/>
            <w:vAlign w:val="bottom"/>
            <w:hideMark/>
          </w:tcPr>
          <w:p w14:paraId="2C4591E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50.6%</w:t>
            </w:r>
          </w:p>
        </w:tc>
      </w:tr>
      <w:tr w:rsidR="004F1CEA" w:rsidRPr="004F1CEA" w14:paraId="435E260B"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77F7427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Hispanic</w:t>
            </w:r>
          </w:p>
        </w:tc>
        <w:tc>
          <w:tcPr>
            <w:tcW w:w="960" w:type="dxa"/>
            <w:tcBorders>
              <w:top w:val="nil"/>
              <w:left w:val="nil"/>
              <w:bottom w:val="single" w:sz="4" w:space="0" w:color="auto"/>
              <w:right w:val="single" w:sz="4" w:space="0" w:color="auto"/>
            </w:tcBorders>
            <w:shd w:val="clear" w:color="auto" w:fill="auto"/>
            <w:noWrap/>
            <w:vAlign w:val="bottom"/>
            <w:hideMark/>
          </w:tcPr>
          <w:p w14:paraId="63BD363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30.7%</w:t>
            </w:r>
          </w:p>
        </w:tc>
        <w:tc>
          <w:tcPr>
            <w:tcW w:w="960" w:type="dxa"/>
            <w:tcBorders>
              <w:top w:val="nil"/>
              <w:left w:val="nil"/>
              <w:bottom w:val="single" w:sz="4" w:space="0" w:color="auto"/>
              <w:right w:val="single" w:sz="4" w:space="0" w:color="auto"/>
            </w:tcBorders>
            <w:shd w:val="clear" w:color="auto" w:fill="auto"/>
            <w:noWrap/>
            <w:vAlign w:val="bottom"/>
            <w:hideMark/>
          </w:tcPr>
          <w:p w14:paraId="6CD54F9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38.0%</w:t>
            </w:r>
          </w:p>
        </w:tc>
        <w:tc>
          <w:tcPr>
            <w:tcW w:w="960" w:type="dxa"/>
            <w:tcBorders>
              <w:top w:val="nil"/>
              <w:left w:val="nil"/>
              <w:bottom w:val="single" w:sz="4" w:space="0" w:color="auto"/>
              <w:right w:val="single" w:sz="4" w:space="0" w:color="auto"/>
            </w:tcBorders>
            <w:shd w:val="clear" w:color="auto" w:fill="auto"/>
            <w:noWrap/>
            <w:vAlign w:val="bottom"/>
            <w:hideMark/>
          </w:tcPr>
          <w:p w14:paraId="4E5C3B5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42.9%</w:t>
            </w:r>
          </w:p>
        </w:tc>
      </w:tr>
      <w:tr w:rsidR="004F1CEA" w:rsidRPr="004F1CEA" w14:paraId="66DB1055"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0DE643DF"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Asian</w:t>
            </w:r>
          </w:p>
        </w:tc>
        <w:tc>
          <w:tcPr>
            <w:tcW w:w="960" w:type="dxa"/>
            <w:tcBorders>
              <w:top w:val="nil"/>
              <w:left w:val="nil"/>
              <w:bottom w:val="single" w:sz="4" w:space="0" w:color="auto"/>
              <w:right w:val="single" w:sz="4" w:space="0" w:color="auto"/>
            </w:tcBorders>
            <w:shd w:val="clear" w:color="auto" w:fill="auto"/>
            <w:noWrap/>
            <w:vAlign w:val="bottom"/>
            <w:hideMark/>
          </w:tcPr>
          <w:p w14:paraId="55C68D9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3D33A47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14:paraId="013845D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2.6%</w:t>
            </w:r>
          </w:p>
        </w:tc>
      </w:tr>
      <w:tr w:rsidR="004F1CEA" w:rsidRPr="004F1CEA" w14:paraId="5A2C83DA"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7D0E699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Pacific Islander</w:t>
            </w:r>
          </w:p>
        </w:tc>
        <w:tc>
          <w:tcPr>
            <w:tcW w:w="960" w:type="dxa"/>
            <w:tcBorders>
              <w:top w:val="nil"/>
              <w:left w:val="nil"/>
              <w:bottom w:val="single" w:sz="4" w:space="0" w:color="auto"/>
              <w:right w:val="single" w:sz="4" w:space="0" w:color="auto"/>
            </w:tcBorders>
            <w:shd w:val="clear" w:color="auto" w:fill="auto"/>
            <w:noWrap/>
            <w:vAlign w:val="bottom"/>
            <w:hideMark/>
          </w:tcPr>
          <w:p w14:paraId="2CF4B91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0.1%</w:t>
            </w:r>
          </w:p>
        </w:tc>
        <w:tc>
          <w:tcPr>
            <w:tcW w:w="960" w:type="dxa"/>
            <w:tcBorders>
              <w:top w:val="nil"/>
              <w:left w:val="nil"/>
              <w:bottom w:val="single" w:sz="4" w:space="0" w:color="auto"/>
              <w:right w:val="single" w:sz="4" w:space="0" w:color="auto"/>
            </w:tcBorders>
            <w:shd w:val="clear" w:color="auto" w:fill="auto"/>
            <w:noWrap/>
            <w:vAlign w:val="bottom"/>
            <w:hideMark/>
          </w:tcPr>
          <w:p w14:paraId="436C8F7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14:paraId="36C90E0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0.0%</w:t>
            </w:r>
          </w:p>
        </w:tc>
      </w:tr>
      <w:tr w:rsidR="004F1CEA" w:rsidRPr="004F1CEA" w14:paraId="52878477"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78CB237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Black</w:t>
            </w:r>
          </w:p>
        </w:tc>
        <w:tc>
          <w:tcPr>
            <w:tcW w:w="960" w:type="dxa"/>
            <w:tcBorders>
              <w:top w:val="nil"/>
              <w:left w:val="nil"/>
              <w:bottom w:val="single" w:sz="4" w:space="0" w:color="auto"/>
              <w:right w:val="single" w:sz="4" w:space="0" w:color="auto"/>
            </w:tcBorders>
            <w:shd w:val="clear" w:color="auto" w:fill="auto"/>
            <w:noWrap/>
            <w:vAlign w:val="bottom"/>
            <w:hideMark/>
          </w:tcPr>
          <w:p w14:paraId="241BEA2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14:paraId="5DF2283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c>
          <w:tcPr>
            <w:tcW w:w="960" w:type="dxa"/>
            <w:tcBorders>
              <w:top w:val="nil"/>
              <w:left w:val="nil"/>
              <w:bottom w:val="single" w:sz="4" w:space="0" w:color="auto"/>
              <w:right w:val="single" w:sz="4" w:space="0" w:color="auto"/>
            </w:tcBorders>
            <w:shd w:val="clear" w:color="auto" w:fill="auto"/>
            <w:noWrap/>
            <w:vAlign w:val="bottom"/>
            <w:hideMark/>
          </w:tcPr>
          <w:p w14:paraId="2DFCB3B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0.3%</w:t>
            </w:r>
          </w:p>
        </w:tc>
      </w:tr>
      <w:tr w:rsidR="004F1CEA" w:rsidRPr="004F1CEA" w14:paraId="27231D10"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33F1B54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American Indian</w:t>
            </w:r>
          </w:p>
        </w:tc>
        <w:tc>
          <w:tcPr>
            <w:tcW w:w="960" w:type="dxa"/>
            <w:tcBorders>
              <w:top w:val="nil"/>
              <w:left w:val="nil"/>
              <w:bottom w:val="single" w:sz="4" w:space="0" w:color="auto"/>
              <w:right w:val="single" w:sz="4" w:space="0" w:color="auto"/>
            </w:tcBorders>
            <w:shd w:val="clear" w:color="auto" w:fill="auto"/>
            <w:noWrap/>
            <w:vAlign w:val="bottom"/>
            <w:hideMark/>
          </w:tcPr>
          <w:p w14:paraId="5AC43BC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3536637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02919C3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w:t>
            </w:r>
          </w:p>
        </w:tc>
      </w:tr>
      <w:tr w:rsidR="004F1CEA" w:rsidRPr="004F1CEA" w14:paraId="5360A9FB" w14:textId="77777777" w:rsidTr="004F1CEA">
        <w:trPr>
          <w:trHeight w:val="300"/>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091EA6F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Multi-race</w:t>
            </w:r>
          </w:p>
        </w:tc>
        <w:tc>
          <w:tcPr>
            <w:tcW w:w="960" w:type="dxa"/>
            <w:tcBorders>
              <w:top w:val="nil"/>
              <w:left w:val="nil"/>
              <w:bottom w:val="single" w:sz="4" w:space="0" w:color="auto"/>
              <w:right w:val="single" w:sz="4" w:space="0" w:color="auto"/>
            </w:tcBorders>
            <w:shd w:val="clear" w:color="auto" w:fill="auto"/>
            <w:noWrap/>
            <w:vAlign w:val="bottom"/>
            <w:hideMark/>
          </w:tcPr>
          <w:p w14:paraId="77F7118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14:paraId="5C68B87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14:paraId="387AA03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w:t>
            </w:r>
          </w:p>
        </w:tc>
      </w:tr>
    </w:tbl>
    <w:p w14:paraId="3E65D9C6" w14:textId="77777777" w:rsidR="004F1CEA" w:rsidRPr="004F1CEA" w:rsidRDefault="004F1CEA" w:rsidP="004F1CEA">
      <w:pPr>
        <w:spacing w:after="0" w:line="280" w:lineRule="atLeast"/>
        <w:rPr>
          <w:rFonts w:eastAsia="Times New Roman" w:cs="Times New Roman"/>
        </w:rPr>
        <w:sectPr w:rsidR="004F1CEA" w:rsidRPr="004F1CEA" w:rsidSect="00CE65D6">
          <w:headerReference w:type="default" r:id="rId12"/>
          <w:pgSz w:w="12240" w:h="15840"/>
          <w:pgMar w:top="1440" w:right="1800" w:bottom="1440" w:left="1800" w:header="720" w:footer="720" w:gutter="0"/>
          <w:pgNumType w:start="0"/>
          <w:cols w:space="0"/>
          <w:titlePg/>
          <w:docGrid w:linePitch="299"/>
        </w:sectPr>
      </w:pPr>
      <w:r w:rsidRPr="004F1CEA">
        <w:rPr>
          <w:rFonts w:eastAsia="Times New Roman" w:cs="Times New Roman"/>
        </w:rPr>
        <w:t>Source: CA Dept. of Finance</w:t>
      </w:r>
    </w:p>
    <w:p w14:paraId="646067BB" w14:textId="77777777" w:rsidR="00682AA1" w:rsidRPr="004F1CEA" w:rsidRDefault="00682AA1" w:rsidP="00682AA1">
      <w:pPr>
        <w:spacing w:after="0" w:line="280" w:lineRule="atLeast"/>
        <w:jc w:val="both"/>
        <w:rPr>
          <w:rFonts w:eastAsia="Times New Roman" w:cs="Times New Roman"/>
          <w:b/>
        </w:rPr>
      </w:pPr>
    </w:p>
    <w:p w14:paraId="617852DD" w14:textId="77777777" w:rsidR="00517621" w:rsidRPr="004F1CEA" w:rsidRDefault="002E1FEA" w:rsidP="008F540B">
      <w:pPr>
        <w:pStyle w:val="Heading3"/>
      </w:pPr>
      <w:bookmarkStart w:id="36" w:name="_Toc383699994"/>
      <w:r>
        <w:t xml:space="preserve">c. </w:t>
      </w:r>
      <w:r w:rsidR="00682AA1" w:rsidRPr="004F1CEA">
        <w:t>AGE</w:t>
      </w:r>
      <w:bookmarkEnd w:id="36"/>
      <w:r w:rsidR="00682AA1" w:rsidRPr="004F1CEA">
        <w:fldChar w:fldCharType="begin"/>
      </w:r>
      <w:r w:rsidR="00682AA1" w:rsidRPr="004F1CEA">
        <w:instrText xml:space="preserve"> TC"</w:instrText>
      </w:r>
      <w:bookmarkStart w:id="37" w:name="_Toc53806436"/>
      <w:bookmarkStart w:id="38" w:name="_Toc66156028"/>
      <w:bookmarkStart w:id="39" w:name="_Toc76443948"/>
      <w:bookmarkStart w:id="40" w:name="_Toc123887085"/>
      <w:r w:rsidR="00682AA1" w:rsidRPr="004F1CEA">
        <w:instrText>Age</w:instrText>
      </w:r>
      <w:bookmarkEnd w:id="37"/>
      <w:bookmarkEnd w:id="38"/>
      <w:bookmarkEnd w:id="39"/>
      <w:bookmarkEnd w:id="40"/>
      <w:r w:rsidR="00682AA1" w:rsidRPr="004F1CEA">
        <w:instrText xml:space="preserve">"\l 3 </w:instrText>
      </w:r>
      <w:r w:rsidR="00682AA1" w:rsidRPr="004F1CEA">
        <w:fldChar w:fldCharType="end"/>
      </w:r>
    </w:p>
    <w:p w14:paraId="600FD1A2" w14:textId="77777777" w:rsidR="00682AA1" w:rsidRPr="004F1CEA" w:rsidRDefault="00682AA1" w:rsidP="00517621">
      <w:pPr>
        <w:spacing w:after="0" w:line="280" w:lineRule="atLeast"/>
        <w:ind w:right="80"/>
        <w:jc w:val="both"/>
      </w:pPr>
      <w:r w:rsidRPr="004F1CEA">
        <w:t>The median age in the unincorporated area is not officially calculated by the census bureau, however the average median age of the individual CDPs is 45.2, significantly older than the median age within the Town of Mammoth Lakes at 32.6.   The number of seniors 65 years and older increased from 10 percent of the unincorporated population in 1990 to 12 percent in 2000, to 14.2 % in 2010.  Coleville had the highest percentage of children under 18 presumably in the Marine Corps housing in Coleville. The Antelope Valley also had one of the highest percentages of seniors 65 years and older. The Long Valley/Wheeler Crest and Tri-Valley planning areas also had high percentages of children under 5 and seniors 65 years and older.</w:t>
      </w:r>
    </w:p>
    <w:p w14:paraId="59EA1C86" w14:textId="77777777" w:rsidR="004F1CEA" w:rsidRPr="004F1CEA" w:rsidRDefault="004F1CEA" w:rsidP="004F1CEA">
      <w:pPr>
        <w:spacing w:line="280" w:lineRule="atLeast"/>
        <w:jc w:val="both"/>
      </w:pPr>
    </w:p>
    <w:p w14:paraId="0555375F" w14:textId="77777777" w:rsidR="004F1CEA" w:rsidRPr="004F1CEA" w:rsidRDefault="004F1CEA" w:rsidP="004F1CEA">
      <w:pPr>
        <w:spacing w:line="280" w:lineRule="atLeast"/>
        <w:jc w:val="both"/>
      </w:pPr>
      <w:r w:rsidRPr="004F1CEA">
        <w:t xml:space="preserve">Table 5: Age Characteristics by CDP, 2010. </w:t>
      </w:r>
    </w:p>
    <w:tbl>
      <w:tblPr>
        <w:tblW w:w="9320" w:type="dxa"/>
        <w:tblInd w:w="5" w:type="dxa"/>
        <w:tblLook w:val="04A0" w:firstRow="1" w:lastRow="0" w:firstColumn="1" w:lastColumn="0" w:noHBand="0" w:noVBand="1"/>
      </w:tblPr>
      <w:tblGrid>
        <w:gridCol w:w="3059"/>
        <w:gridCol w:w="851"/>
        <w:gridCol w:w="713"/>
        <w:gridCol w:w="710"/>
        <w:gridCol w:w="766"/>
        <w:gridCol w:w="693"/>
        <w:gridCol w:w="871"/>
        <w:gridCol w:w="871"/>
        <w:gridCol w:w="811"/>
      </w:tblGrid>
      <w:tr w:rsidR="004F1CEA" w:rsidRPr="004F1CEA" w14:paraId="2186A5E7" w14:textId="77777777" w:rsidTr="004F1CEA">
        <w:trPr>
          <w:trHeight w:val="1740"/>
        </w:trPr>
        <w:tc>
          <w:tcPr>
            <w:tcW w:w="3100" w:type="dxa"/>
            <w:tcBorders>
              <w:top w:val="nil"/>
              <w:left w:val="nil"/>
              <w:bottom w:val="nil"/>
              <w:right w:val="nil"/>
            </w:tcBorders>
            <w:shd w:val="clear" w:color="auto" w:fill="auto"/>
            <w:noWrap/>
            <w:vAlign w:val="bottom"/>
            <w:hideMark/>
          </w:tcPr>
          <w:p w14:paraId="3139E033" w14:textId="77777777" w:rsidR="004F1CEA" w:rsidRPr="004F1CEA" w:rsidRDefault="004F1CEA" w:rsidP="004F1CEA">
            <w:pPr>
              <w:spacing w:after="0" w:line="240" w:lineRule="auto"/>
              <w:rPr>
                <w:rFonts w:eastAsia="Times New Roman" w:cs="Times New Roman"/>
              </w:rPr>
            </w:pPr>
          </w:p>
        </w:tc>
        <w:tc>
          <w:tcPr>
            <w:tcW w:w="860" w:type="dxa"/>
            <w:tcBorders>
              <w:top w:val="nil"/>
              <w:left w:val="nil"/>
              <w:bottom w:val="nil"/>
              <w:right w:val="nil"/>
            </w:tcBorders>
            <w:shd w:val="clear" w:color="auto" w:fill="auto"/>
            <w:noWrap/>
            <w:textDirection w:val="btLr"/>
            <w:vAlign w:val="bottom"/>
            <w:hideMark/>
          </w:tcPr>
          <w:p w14:paraId="145AD03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Popluation</w:t>
            </w:r>
          </w:p>
        </w:tc>
        <w:tc>
          <w:tcPr>
            <w:tcW w:w="720" w:type="dxa"/>
            <w:tcBorders>
              <w:top w:val="nil"/>
              <w:left w:val="nil"/>
              <w:bottom w:val="nil"/>
              <w:right w:val="nil"/>
            </w:tcBorders>
            <w:shd w:val="clear" w:color="auto" w:fill="auto"/>
            <w:noWrap/>
            <w:textDirection w:val="btLr"/>
            <w:vAlign w:val="bottom"/>
            <w:hideMark/>
          </w:tcPr>
          <w:p w14:paraId="7AF2464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Median Age</w:t>
            </w:r>
          </w:p>
        </w:tc>
        <w:tc>
          <w:tcPr>
            <w:tcW w:w="660" w:type="dxa"/>
            <w:tcBorders>
              <w:top w:val="nil"/>
              <w:left w:val="nil"/>
              <w:bottom w:val="nil"/>
              <w:right w:val="nil"/>
            </w:tcBorders>
            <w:shd w:val="clear" w:color="auto" w:fill="auto"/>
            <w:noWrap/>
            <w:textDirection w:val="btLr"/>
            <w:vAlign w:val="bottom"/>
            <w:hideMark/>
          </w:tcPr>
          <w:p w14:paraId="3B7E5D58"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Under 18</w:t>
            </w:r>
          </w:p>
        </w:tc>
        <w:tc>
          <w:tcPr>
            <w:tcW w:w="700" w:type="dxa"/>
            <w:tcBorders>
              <w:top w:val="nil"/>
              <w:left w:val="nil"/>
              <w:bottom w:val="nil"/>
              <w:right w:val="nil"/>
            </w:tcBorders>
            <w:shd w:val="clear" w:color="auto" w:fill="auto"/>
            <w:noWrap/>
            <w:textDirection w:val="btLr"/>
            <w:vAlign w:val="bottom"/>
            <w:hideMark/>
          </w:tcPr>
          <w:p w14:paraId="79CFCD1C"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18 &amp; Over</w:t>
            </w:r>
          </w:p>
        </w:tc>
        <w:tc>
          <w:tcPr>
            <w:tcW w:w="700" w:type="dxa"/>
            <w:tcBorders>
              <w:top w:val="nil"/>
              <w:left w:val="nil"/>
              <w:bottom w:val="nil"/>
              <w:right w:val="nil"/>
            </w:tcBorders>
            <w:shd w:val="clear" w:color="auto" w:fill="auto"/>
            <w:noWrap/>
            <w:textDirection w:val="btLr"/>
            <w:vAlign w:val="bottom"/>
            <w:hideMark/>
          </w:tcPr>
          <w:p w14:paraId="33FCAAB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65 &amp; Over</w:t>
            </w:r>
          </w:p>
        </w:tc>
        <w:tc>
          <w:tcPr>
            <w:tcW w:w="880" w:type="dxa"/>
            <w:tcBorders>
              <w:top w:val="nil"/>
              <w:left w:val="nil"/>
              <w:bottom w:val="nil"/>
              <w:right w:val="nil"/>
            </w:tcBorders>
            <w:shd w:val="clear" w:color="auto" w:fill="auto"/>
            <w:noWrap/>
            <w:textDirection w:val="btLr"/>
            <w:vAlign w:val="bottom"/>
            <w:hideMark/>
          </w:tcPr>
          <w:p w14:paraId="7F2D74D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Under 18</w:t>
            </w:r>
          </w:p>
        </w:tc>
        <w:tc>
          <w:tcPr>
            <w:tcW w:w="880" w:type="dxa"/>
            <w:tcBorders>
              <w:top w:val="nil"/>
              <w:left w:val="nil"/>
              <w:bottom w:val="nil"/>
              <w:right w:val="nil"/>
            </w:tcBorders>
            <w:shd w:val="clear" w:color="auto" w:fill="auto"/>
            <w:noWrap/>
            <w:textDirection w:val="btLr"/>
            <w:vAlign w:val="bottom"/>
            <w:hideMark/>
          </w:tcPr>
          <w:p w14:paraId="0DE901F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18 &amp; over</w:t>
            </w:r>
          </w:p>
        </w:tc>
        <w:tc>
          <w:tcPr>
            <w:tcW w:w="820" w:type="dxa"/>
            <w:tcBorders>
              <w:top w:val="nil"/>
              <w:left w:val="nil"/>
              <w:bottom w:val="nil"/>
              <w:right w:val="nil"/>
            </w:tcBorders>
            <w:shd w:val="clear" w:color="auto" w:fill="auto"/>
            <w:noWrap/>
            <w:textDirection w:val="btLr"/>
            <w:vAlign w:val="bottom"/>
            <w:hideMark/>
          </w:tcPr>
          <w:p w14:paraId="3EFD969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65 &amp; Over</w:t>
            </w:r>
          </w:p>
        </w:tc>
      </w:tr>
      <w:tr w:rsidR="004F1CEA" w:rsidRPr="004F1CEA" w14:paraId="6E1D120E" w14:textId="77777777" w:rsidTr="004F1CEA">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7453E"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5748297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14,202</w:t>
            </w:r>
          </w:p>
        </w:tc>
        <w:tc>
          <w:tcPr>
            <w:tcW w:w="720"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14:paraId="066AF70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37.2</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5093574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2,979</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F881E2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11223</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3FA86F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1377</w:t>
            </w:r>
          </w:p>
        </w:tc>
        <w:tc>
          <w:tcPr>
            <w:tcW w:w="88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14:paraId="1D1819F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21.0%</w:t>
            </w:r>
          </w:p>
        </w:tc>
        <w:tc>
          <w:tcPr>
            <w:tcW w:w="88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14:paraId="40A975C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79.0%</w:t>
            </w:r>
          </w:p>
        </w:tc>
        <w:tc>
          <w:tcPr>
            <w:tcW w:w="820" w:type="dxa"/>
            <w:tcBorders>
              <w:top w:val="single" w:sz="4" w:space="0" w:color="auto"/>
              <w:left w:val="single" w:sz="4" w:space="0" w:color="auto"/>
              <w:bottom w:val="single" w:sz="4" w:space="0" w:color="auto"/>
              <w:right w:val="single" w:sz="4" w:space="0" w:color="auto"/>
            </w:tcBorders>
            <w:shd w:val="clear" w:color="000000" w:fill="EDEA99"/>
            <w:noWrap/>
            <w:vAlign w:val="bottom"/>
            <w:hideMark/>
          </w:tcPr>
          <w:p w14:paraId="4017DA4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9.7%</w:t>
            </w:r>
          </w:p>
        </w:tc>
      </w:tr>
      <w:tr w:rsidR="004F1CEA" w:rsidRPr="004F1CEA" w14:paraId="382006E7" w14:textId="77777777"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14:paraId="6C4A9B7E" w14:textId="77777777" w:rsidR="004F1CEA" w:rsidRPr="004F1CEA" w:rsidRDefault="004F1CEA" w:rsidP="004F1CEA">
            <w:pPr>
              <w:spacing w:after="0" w:line="240" w:lineRule="auto"/>
              <w:rPr>
                <w:rFonts w:eastAsia="Times New Roman" w:cs="Times New Roman"/>
                <w:b/>
                <w:bCs/>
                <w:color w:val="000000"/>
              </w:rPr>
            </w:pPr>
            <w:r w:rsidRPr="004F1CEA">
              <w:rPr>
                <w:rFonts w:eastAsia="Times New Roman" w:cs="Times New Roman"/>
                <w:b/>
                <w:bCs/>
                <w:color w:val="000000"/>
              </w:rPr>
              <w:t> </w:t>
            </w:r>
          </w:p>
        </w:tc>
        <w:tc>
          <w:tcPr>
            <w:tcW w:w="860" w:type="dxa"/>
            <w:tcBorders>
              <w:top w:val="nil"/>
              <w:left w:val="nil"/>
              <w:bottom w:val="single" w:sz="4" w:space="0" w:color="auto"/>
              <w:right w:val="nil"/>
            </w:tcBorders>
            <w:shd w:val="clear" w:color="auto" w:fill="auto"/>
            <w:noWrap/>
            <w:vAlign w:val="bottom"/>
            <w:hideMark/>
          </w:tcPr>
          <w:p w14:paraId="053C2D1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709A3F4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687AF0B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4F719FF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5513318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5C60F87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0F28CBF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2B24A6C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4DB4B3B4"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FB58C2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Mammoth Lakes</w:t>
            </w:r>
          </w:p>
        </w:tc>
        <w:tc>
          <w:tcPr>
            <w:tcW w:w="860" w:type="dxa"/>
            <w:tcBorders>
              <w:top w:val="nil"/>
              <w:left w:val="nil"/>
              <w:bottom w:val="single" w:sz="4" w:space="0" w:color="auto"/>
              <w:right w:val="single" w:sz="4" w:space="0" w:color="auto"/>
            </w:tcBorders>
            <w:shd w:val="clear" w:color="auto" w:fill="auto"/>
            <w:noWrap/>
            <w:vAlign w:val="bottom"/>
            <w:hideMark/>
          </w:tcPr>
          <w:p w14:paraId="32CDC16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8,234</w:t>
            </w:r>
          </w:p>
        </w:tc>
        <w:tc>
          <w:tcPr>
            <w:tcW w:w="720" w:type="dxa"/>
            <w:tcBorders>
              <w:top w:val="single" w:sz="4" w:space="0" w:color="auto"/>
              <w:left w:val="single" w:sz="4" w:space="0" w:color="auto"/>
              <w:bottom w:val="single" w:sz="4" w:space="0" w:color="auto"/>
              <w:right w:val="single" w:sz="4" w:space="0" w:color="auto"/>
            </w:tcBorders>
            <w:shd w:val="clear" w:color="000000" w:fill="DBE495"/>
            <w:noWrap/>
            <w:vAlign w:val="bottom"/>
            <w:hideMark/>
          </w:tcPr>
          <w:p w14:paraId="1A80759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32.6</w:t>
            </w:r>
          </w:p>
        </w:tc>
        <w:tc>
          <w:tcPr>
            <w:tcW w:w="660" w:type="dxa"/>
            <w:tcBorders>
              <w:top w:val="nil"/>
              <w:left w:val="nil"/>
              <w:bottom w:val="single" w:sz="4" w:space="0" w:color="auto"/>
              <w:right w:val="single" w:sz="4" w:space="0" w:color="auto"/>
            </w:tcBorders>
            <w:shd w:val="clear" w:color="auto" w:fill="auto"/>
            <w:noWrap/>
            <w:vAlign w:val="bottom"/>
            <w:hideMark/>
          </w:tcPr>
          <w:p w14:paraId="4D2BE30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1,719</w:t>
            </w:r>
          </w:p>
        </w:tc>
        <w:tc>
          <w:tcPr>
            <w:tcW w:w="700" w:type="dxa"/>
            <w:tcBorders>
              <w:top w:val="nil"/>
              <w:left w:val="nil"/>
              <w:bottom w:val="single" w:sz="4" w:space="0" w:color="auto"/>
              <w:right w:val="single" w:sz="4" w:space="0" w:color="auto"/>
            </w:tcBorders>
            <w:shd w:val="clear" w:color="auto" w:fill="auto"/>
            <w:noWrap/>
            <w:vAlign w:val="bottom"/>
            <w:hideMark/>
          </w:tcPr>
          <w:p w14:paraId="27B1F7E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6515</w:t>
            </w:r>
          </w:p>
        </w:tc>
        <w:tc>
          <w:tcPr>
            <w:tcW w:w="700" w:type="dxa"/>
            <w:tcBorders>
              <w:top w:val="nil"/>
              <w:left w:val="nil"/>
              <w:bottom w:val="single" w:sz="4" w:space="0" w:color="auto"/>
              <w:right w:val="single" w:sz="4" w:space="0" w:color="auto"/>
            </w:tcBorders>
            <w:shd w:val="clear" w:color="auto" w:fill="auto"/>
            <w:noWrap/>
            <w:vAlign w:val="bottom"/>
            <w:hideMark/>
          </w:tcPr>
          <w:p w14:paraId="717F7F9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532</w:t>
            </w:r>
          </w:p>
        </w:tc>
        <w:tc>
          <w:tcPr>
            <w:tcW w:w="880"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14:paraId="434F235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20.9%</w:t>
            </w:r>
          </w:p>
        </w:tc>
        <w:tc>
          <w:tcPr>
            <w:tcW w:w="880" w:type="dxa"/>
            <w:tcBorders>
              <w:top w:val="single" w:sz="4" w:space="0" w:color="auto"/>
              <w:left w:val="single" w:sz="4" w:space="0" w:color="auto"/>
              <w:bottom w:val="single" w:sz="4" w:space="0" w:color="auto"/>
              <w:right w:val="single" w:sz="4" w:space="0" w:color="auto"/>
            </w:tcBorders>
            <w:shd w:val="clear" w:color="000000" w:fill="A1D289"/>
            <w:noWrap/>
            <w:vAlign w:val="bottom"/>
            <w:hideMark/>
          </w:tcPr>
          <w:p w14:paraId="4E0CA0B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79.1%</w:t>
            </w:r>
          </w:p>
        </w:tc>
        <w:tc>
          <w:tcPr>
            <w:tcW w:w="8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57D947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w:t>
            </w:r>
          </w:p>
        </w:tc>
      </w:tr>
      <w:tr w:rsidR="004F1CEA" w:rsidRPr="004F1CEA" w14:paraId="12B39989" w14:textId="77777777"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14:paraId="285ED58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860" w:type="dxa"/>
            <w:tcBorders>
              <w:top w:val="nil"/>
              <w:left w:val="nil"/>
              <w:bottom w:val="single" w:sz="4" w:space="0" w:color="auto"/>
              <w:right w:val="nil"/>
            </w:tcBorders>
            <w:shd w:val="clear" w:color="auto" w:fill="auto"/>
            <w:noWrap/>
            <w:vAlign w:val="bottom"/>
            <w:hideMark/>
          </w:tcPr>
          <w:p w14:paraId="5931C34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651C651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0D5ED9F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0ADD359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635EDA8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48F1FE4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06B4BB1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E7A3E4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0A173D97"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F15E6A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Countywide -Town</w:t>
            </w:r>
          </w:p>
        </w:tc>
        <w:tc>
          <w:tcPr>
            <w:tcW w:w="860" w:type="dxa"/>
            <w:tcBorders>
              <w:top w:val="nil"/>
              <w:left w:val="nil"/>
              <w:bottom w:val="single" w:sz="4" w:space="0" w:color="auto"/>
              <w:right w:val="single" w:sz="4" w:space="0" w:color="auto"/>
            </w:tcBorders>
            <w:shd w:val="clear" w:color="auto" w:fill="auto"/>
            <w:noWrap/>
            <w:vAlign w:val="bottom"/>
            <w:hideMark/>
          </w:tcPr>
          <w:p w14:paraId="563E4BE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5,968</w:t>
            </w:r>
          </w:p>
        </w:tc>
        <w:tc>
          <w:tcPr>
            <w:tcW w:w="720" w:type="dxa"/>
            <w:tcBorders>
              <w:top w:val="nil"/>
              <w:left w:val="nil"/>
              <w:bottom w:val="single" w:sz="4" w:space="0" w:color="auto"/>
              <w:right w:val="single" w:sz="4" w:space="0" w:color="auto"/>
            </w:tcBorders>
            <w:shd w:val="clear" w:color="auto" w:fill="auto"/>
            <w:noWrap/>
            <w:vAlign w:val="bottom"/>
            <w:hideMark/>
          </w:tcPr>
          <w:p w14:paraId="2EF23EA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1E5A317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1,260</w:t>
            </w:r>
          </w:p>
        </w:tc>
        <w:tc>
          <w:tcPr>
            <w:tcW w:w="700" w:type="dxa"/>
            <w:tcBorders>
              <w:top w:val="nil"/>
              <w:left w:val="nil"/>
              <w:bottom w:val="single" w:sz="4" w:space="0" w:color="auto"/>
              <w:right w:val="single" w:sz="4" w:space="0" w:color="auto"/>
            </w:tcBorders>
            <w:shd w:val="clear" w:color="auto" w:fill="auto"/>
            <w:noWrap/>
            <w:vAlign w:val="bottom"/>
            <w:hideMark/>
          </w:tcPr>
          <w:p w14:paraId="0528367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4708</w:t>
            </w:r>
          </w:p>
        </w:tc>
        <w:tc>
          <w:tcPr>
            <w:tcW w:w="700" w:type="dxa"/>
            <w:tcBorders>
              <w:top w:val="nil"/>
              <w:left w:val="nil"/>
              <w:bottom w:val="single" w:sz="4" w:space="0" w:color="auto"/>
              <w:right w:val="single" w:sz="4" w:space="0" w:color="auto"/>
            </w:tcBorders>
            <w:shd w:val="clear" w:color="auto" w:fill="auto"/>
            <w:noWrap/>
            <w:vAlign w:val="bottom"/>
            <w:hideMark/>
          </w:tcPr>
          <w:p w14:paraId="72BE285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845</w:t>
            </w:r>
          </w:p>
        </w:tc>
        <w:tc>
          <w:tcPr>
            <w:tcW w:w="880" w:type="dxa"/>
            <w:tcBorders>
              <w:top w:val="single" w:sz="4" w:space="0" w:color="auto"/>
              <w:left w:val="single" w:sz="4" w:space="0" w:color="auto"/>
              <w:bottom w:val="single" w:sz="4" w:space="0" w:color="auto"/>
              <w:right w:val="single" w:sz="4" w:space="0" w:color="auto"/>
            </w:tcBorders>
            <w:shd w:val="clear" w:color="000000" w:fill="C0DC8F"/>
            <w:noWrap/>
            <w:vAlign w:val="bottom"/>
            <w:hideMark/>
          </w:tcPr>
          <w:p w14:paraId="041EFC9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21.1%</w:t>
            </w:r>
          </w:p>
        </w:tc>
        <w:tc>
          <w:tcPr>
            <w:tcW w:w="880"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14:paraId="33CCAB9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78.9%</w:t>
            </w:r>
          </w:p>
        </w:tc>
        <w:tc>
          <w:tcPr>
            <w:tcW w:w="820" w:type="dxa"/>
            <w:tcBorders>
              <w:top w:val="single" w:sz="4" w:space="0" w:color="auto"/>
              <w:left w:val="single" w:sz="4" w:space="0" w:color="auto"/>
              <w:bottom w:val="single" w:sz="4" w:space="0" w:color="auto"/>
              <w:right w:val="single" w:sz="4" w:space="0" w:color="auto"/>
            </w:tcBorders>
            <w:shd w:val="clear" w:color="000000" w:fill="D4E293"/>
            <w:noWrap/>
            <w:vAlign w:val="bottom"/>
            <w:hideMark/>
          </w:tcPr>
          <w:p w14:paraId="4DDF499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14.2%</w:t>
            </w:r>
          </w:p>
        </w:tc>
      </w:tr>
      <w:tr w:rsidR="004F1CEA" w:rsidRPr="004F1CEA" w14:paraId="596176D9" w14:textId="77777777"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14:paraId="38A2768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860" w:type="dxa"/>
            <w:tcBorders>
              <w:top w:val="nil"/>
              <w:left w:val="nil"/>
              <w:bottom w:val="single" w:sz="4" w:space="0" w:color="auto"/>
              <w:right w:val="nil"/>
            </w:tcBorders>
            <w:shd w:val="clear" w:color="auto" w:fill="auto"/>
            <w:noWrap/>
            <w:vAlign w:val="bottom"/>
            <w:hideMark/>
          </w:tcPr>
          <w:p w14:paraId="4BA9635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3C54119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003293D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2F5D458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2840A03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524F15E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3F071F8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0F520A4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0A28BD96"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B1944FE" w14:textId="77777777" w:rsidR="004F1CEA" w:rsidRPr="004F1CEA" w:rsidRDefault="004F1CEA" w:rsidP="004F1CEA">
            <w:pPr>
              <w:spacing w:after="0" w:line="240" w:lineRule="auto"/>
              <w:rPr>
                <w:rFonts w:eastAsia="Times New Roman" w:cs="Times New Roman"/>
                <w:i/>
                <w:iCs/>
                <w:color w:val="000000"/>
              </w:rPr>
            </w:pPr>
            <w:r w:rsidRPr="004F1CEA">
              <w:rPr>
                <w:rFonts w:eastAsia="Times New Roman" w:cs="Times New Roman"/>
                <w:i/>
                <w:iCs/>
                <w:color w:val="000000"/>
              </w:rPr>
              <w:t>Mono County CDPs</w:t>
            </w:r>
          </w:p>
        </w:tc>
        <w:tc>
          <w:tcPr>
            <w:tcW w:w="860" w:type="dxa"/>
            <w:tcBorders>
              <w:top w:val="nil"/>
              <w:left w:val="nil"/>
              <w:bottom w:val="single" w:sz="4" w:space="0" w:color="auto"/>
              <w:right w:val="nil"/>
            </w:tcBorders>
            <w:shd w:val="clear" w:color="auto" w:fill="auto"/>
            <w:noWrap/>
            <w:vAlign w:val="bottom"/>
            <w:hideMark/>
          </w:tcPr>
          <w:p w14:paraId="637875C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1F4C15C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44EC917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42956D1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798672D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35F1063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7A8735F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302EB02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121875CA"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7FDC8CE"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Chalfant</w:t>
            </w:r>
          </w:p>
        </w:tc>
        <w:tc>
          <w:tcPr>
            <w:tcW w:w="860" w:type="dxa"/>
            <w:tcBorders>
              <w:top w:val="nil"/>
              <w:left w:val="nil"/>
              <w:bottom w:val="single" w:sz="4" w:space="0" w:color="auto"/>
              <w:right w:val="single" w:sz="4" w:space="0" w:color="auto"/>
            </w:tcBorders>
            <w:shd w:val="clear" w:color="auto" w:fill="auto"/>
            <w:noWrap/>
            <w:vAlign w:val="bottom"/>
            <w:hideMark/>
          </w:tcPr>
          <w:p w14:paraId="3E0D723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651</w:t>
            </w:r>
          </w:p>
        </w:tc>
        <w:tc>
          <w:tcPr>
            <w:tcW w:w="720" w:type="dxa"/>
            <w:tcBorders>
              <w:top w:val="single" w:sz="4" w:space="0" w:color="auto"/>
              <w:left w:val="single" w:sz="4" w:space="0" w:color="auto"/>
              <w:bottom w:val="single" w:sz="4" w:space="0" w:color="auto"/>
              <w:right w:val="single" w:sz="4" w:space="0" w:color="auto"/>
            </w:tcBorders>
            <w:shd w:val="clear" w:color="000000" w:fill="8DCB84"/>
            <w:noWrap/>
            <w:vAlign w:val="bottom"/>
            <w:hideMark/>
          </w:tcPr>
          <w:p w14:paraId="24E3404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47.1</w:t>
            </w:r>
          </w:p>
        </w:tc>
        <w:tc>
          <w:tcPr>
            <w:tcW w:w="660" w:type="dxa"/>
            <w:tcBorders>
              <w:top w:val="nil"/>
              <w:left w:val="nil"/>
              <w:bottom w:val="single" w:sz="4" w:space="0" w:color="auto"/>
              <w:right w:val="single" w:sz="4" w:space="0" w:color="auto"/>
            </w:tcBorders>
            <w:shd w:val="clear" w:color="auto" w:fill="auto"/>
            <w:noWrap/>
            <w:vAlign w:val="bottom"/>
            <w:hideMark/>
          </w:tcPr>
          <w:p w14:paraId="3D24F81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131</w:t>
            </w:r>
          </w:p>
        </w:tc>
        <w:tc>
          <w:tcPr>
            <w:tcW w:w="700" w:type="dxa"/>
            <w:tcBorders>
              <w:top w:val="nil"/>
              <w:left w:val="nil"/>
              <w:bottom w:val="single" w:sz="4" w:space="0" w:color="auto"/>
              <w:right w:val="single" w:sz="4" w:space="0" w:color="auto"/>
            </w:tcBorders>
            <w:shd w:val="clear" w:color="auto" w:fill="auto"/>
            <w:noWrap/>
            <w:vAlign w:val="bottom"/>
            <w:hideMark/>
          </w:tcPr>
          <w:p w14:paraId="4E4F966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520</w:t>
            </w:r>
          </w:p>
        </w:tc>
        <w:tc>
          <w:tcPr>
            <w:tcW w:w="700" w:type="dxa"/>
            <w:tcBorders>
              <w:top w:val="nil"/>
              <w:left w:val="nil"/>
              <w:bottom w:val="single" w:sz="4" w:space="0" w:color="auto"/>
              <w:right w:val="single" w:sz="4" w:space="0" w:color="auto"/>
            </w:tcBorders>
            <w:shd w:val="clear" w:color="auto" w:fill="auto"/>
            <w:noWrap/>
            <w:vAlign w:val="bottom"/>
            <w:hideMark/>
          </w:tcPr>
          <w:p w14:paraId="5E4AB34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w:t>
            </w:r>
          </w:p>
        </w:tc>
        <w:tc>
          <w:tcPr>
            <w:tcW w:w="880" w:type="dxa"/>
            <w:tcBorders>
              <w:top w:val="single" w:sz="4" w:space="0" w:color="auto"/>
              <w:left w:val="single" w:sz="4" w:space="0" w:color="auto"/>
              <w:bottom w:val="single" w:sz="4" w:space="0" w:color="auto"/>
              <w:right w:val="single" w:sz="4" w:space="0" w:color="auto"/>
            </w:tcBorders>
            <w:shd w:val="clear" w:color="000000" w:fill="C7DE91"/>
            <w:noWrap/>
            <w:vAlign w:val="bottom"/>
            <w:hideMark/>
          </w:tcPr>
          <w:p w14:paraId="72CCA94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20.1%</w:t>
            </w:r>
          </w:p>
        </w:tc>
        <w:tc>
          <w:tcPr>
            <w:tcW w:w="880" w:type="dxa"/>
            <w:tcBorders>
              <w:top w:val="single" w:sz="4" w:space="0" w:color="auto"/>
              <w:left w:val="single" w:sz="4" w:space="0" w:color="auto"/>
              <w:bottom w:val="single" w:sz="4" w:space="0" w:color="auto"/>
              <w:right w:val="single" w:sz="4" w:space="0" w:color="auto"/>
            </w:tcBorders>
            <w:shd w:val="clear" w:color="000000" w:fill="9CD087"/>
            <w:noWrap/>
            <w:vAlign w:val="bottom"/>
            <w:hideMark/>
          </w:tcPr>
          <w:p w14:paraId="3086AD4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79.9%</w:t>
            </w:r>
          </w:p>
        </w:tc>
        <w:tc>
          <w:tcPr>
            <w:tcW w:w="820" w:type="dxa"/>
            <w:tcBorders>
              <w:top w:val="single" w:sz="4" w:space="0" w:color="auto"/>
              <w:left w:val="single" w:sz="4" w:space="0" w:color="auto"/>
              <w:bottom w:val="single" w:sz="4" w:space="0" w:color="auto"/>
              <w:right w:val="single" w:sz="4" w:space="0" w:color="auto"/>
            </w:tcBorders>
            <w:shd w:val="clear" w:color="000000" w:fill="F8ED9B"/>
            <w:noWrap/>
            <w:vAlign w:val="bottom"/>
            <w:hideMark/>
          </w:tcPr>
          <w:p w14:paraId="39B28EA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7.8%</w:t>
            </w:r>
          </w:p>
        </w:tc>
      </w:tr>
      <w:tr w:rsidR="004F1CEA" w:rsidRPr="004F1CEA" w14:paraId="0BAEE871"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F6B924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Benton</w:t>
            </w:r>
          </w:p>
        </w:tc>
        <w:tc>
          <w:tcPr>
            <w:tcW w:w="860" w:type="dxa"/>
            <w:tcBorders>
              <w:top w:val="nil"/>
              <w:left w:val="nil"/>
              <w:bottom w:val="single" w:sz="4" w:space="0" w:color="auto"/>
              <w:right w:val="single" w:sz="4" w:space="0" w:color="auto"/>
            </w:tcBorders>
            <w:shd w:val="clear" w:color="auto" w:fill="auto"/>
            <w:noWrap/>
            <w:vAlign w:val="bottom"/>
            <w:hideMark/>
          </w:tcPr>
          <w:p w14:paraId="6CD7D46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280</w:t>
            </w:r>
          </w:p>
        </w:tc>
        <w:tc>
          <w:tcPr>
            <w:tcW w:w="720" w:type="dxa"/>
            <w:tcBorders>
              <w:top w:val="single" w:sz="4" w:space="0" w:color="auto"/>
              <w:left w:val="single" w:sz="4" w:space="0" w:color="auto"/>
              <w:bottom w:val="single" w:sz="4" w:space="0" w:color="auto"/>
              <w:right w:val="single" w:sz="4" w:space="0" w:color="auto"/>
            </w:tcBorders>
            <w:shd w:val="clear" w:color="000000" w:fill="84C982"/>
            <w:noWrap/>
            <w:vAlign w:val="bottom"/>
            <w:hideMark/>
          </w:tcPr>
          <w:p w14:paraId="2EFD7EF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48.8</w:t>
            </w:r>
          </w:p>
        </w:tc>
        <w:tc>
          <w:tcPr>
            <w:tcW w:w="660" w:type="dxa"/>
            <w:tcBorders>
              <w:top w:val="nil"/>
              <w:left w:val="nil"/>
              <w:bottom w:val="single" w:sz="4" w:space="0" w:color="auto"/>
              <w:right w:val="single" w:sz="4" w:space="0" w:color="auto"/>
            </w:tcBorders>
            <w:shd w:val="clear" w:color="auto" w:fill="auto"/>
            <w:noWrap/>
            <w:vAlign w:val="bottom"/>
            <w:hideMark/>
          </w:tcPr>
          <w:p w14:paraId="4DFC9F1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54</w:t>
            </w:r>
          </w:p>
        </w:tc>
        <w:tc>
          <w:tcPr>
            <w:tcW w:w="700" w:type="dxa"/>
            <w:tcBorders>
              <w:top w:val="nil"/>
              <w:left w:val="nil"/>
              <w:bottom w:val="single" w:sz="4" w:space="0" w:color="auto"/>
              <w:right w:val="single" w:sz="4" w:space="0" w:color="auto"/>
            </w:tcBorders>
            <w:shd w:val="clear" w:color="auto" w:fill="auto"/>
            <w:noWrap/>
            <w:vAlign w:val="bottom"/>
            <w:hideMark/>
          </w:tcPr>
          <w:p w14:paraId="6F6F717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226</w:t>
            </w:r>
          </w:p>
        </w:tc>
        <w:tc>
          <w:tcPr>
            <w:tcW w:w="700" w:type="dxa"/>
            <w:tcBorders>
              <w:top w:val="nil"/>
              <w:left w:val="nil"/>
              <w:bottom w:val="single" w:sz="4" w:space="0" w:color="auto"/>
              <w:right w:val="single" w:sz="4" w:space="0" w:color="auto"/>
            </w:tcBorders>
            <w:shd w:val="clear" w:color="auto" w:fill="auto"/>
            <w:noWrap/>
            <w:vAlign w:val="bottom"/>
            <w:hideMark/>
          </w:tcPr>
          <w:p w14:paraId="2160F31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35</w:t>
            </w:r>
          </w:p>
        </w:tc>
        <w:tc>
          <w:tcPr>
            <w:tcW w:w="880"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14:paraId="1F59B15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19.3%</w:t>
            </w:r>
          </w:p>
        </w:tc>
        <w:tc>
          <w:tcPr>
            <w:tcW w:w="880" w:type="dxa"/>
            <w:tcBorders>
              <w:top w:val="single" w:sz="4" w:space="0" w:color="auto"/>
              <w:left w:val="single" w:sz="4" w:space="0" w:color="auto"/>
              <w:bottom w:val="single" w:sz="4" w:space="0" w:color="auto"/>
              <w:right w:val="single" w:sz="4" w:space="0" w:color="auto"/>
            </w:tcBorders>
            <w:shd w:val="clear" w:color="000000" w:fill="96CE86"/>
            <w:noWrap/>
            <w:vAlign w:val="bottom"/>
            <w:hideMark/>
          </w:tcPr>
          <w:p w14:paraId="4EF5FCA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80.7%</w:t>
            </w:r>
          </w:p>
        </w:tc>
        <w:tc>
          <w:tcPr>
            <w:tcW w:w="820"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14:paraId="4DE956A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12.5%</w:t>
            </w:r>
          </w:p>
        </w:tc>
      </w:tr>
      <w:tr w:rsidR="004F1CEA" w:rsidRPr="004F1CEA" w14:paraId="15079D9A"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017F65D"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Paradise</w:t>
            </w:r>
          </w:p>
        </w:tc>
        <w:tc>
          <w:tcPr>
            <w:tcW w:w="860" w:type="dxa"/>
            <w:tcBorders>
              <w:top w:val="nil"/>
              <w:left w:val="nil"/>
              <w:bottom w:val="single" w:sz="4" w:space="0" w:color="auto"/>
              <w:right w:val="single" w:sz="4" w:space="0" w:color="auto"/>
            </w:tcBorders>
            <w:shd w:val="clear" w:color="auto" w:fill="auto"/>
            <w:noWrap/>
            <w:vAlign w:val="bottom"/>
            <w:hideMark/>
          </w:tcPr>
          <w:p w14:paraId="42533A4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153</w:t>
            </w:r>
          </w:p>
        </w:tc>
        <w:tc>
          <w:tcPr>
            <w:tcW w:w="720" w:type="dxa"/>
            <w:tcBorders>
              <w:top w:val="single" w:sz="4" w:space="0" w:color="auto"/>
              <w:left w:val="single" w:sz="4" w:space="0" w:color="auto"/>
              <w:bottom w:val="single" w:sz="4" w:space="0" w:color="auto"/>
              <w:right w:val="single" w:sz="4" w:space="0" w:color="auto"/>
            </w:tcBorders>
            <w:shd w:val="clear" w:color="000000" w:fill="6EC27E"/>
            <w:noWrap/>
            <w:vAlign w:val="bottom"/>
            <w:hideMark/>
          </w:tcPr>
          <w:p w14:paraId="0DEFB69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52.9</w:t>
            </w:r>
          </w:p>
        </w:tc>
        <w:tc>
          <w:tcPr>
            <w:tcW w:w="660" w:type="dxa"/>
            <w:tcBorders>
              <w:top w:val="nil"/>
              <w:left w:val="nil"/>
              <w:bottom w:val="single" w:sz="4" w:space="0" w:color="auto"/>
              <w:right w:val="single" w:sz="4" w:space="0" w:color="auto"/>
            </w:tcBorders>
            <w:shd w:val="clear" w:color="auto" w:fill="auto"/>
            <w:noWrap/>
            <w:vAlign w:val="bottom"/>
            <w:hideMark/>
          </w:tcPr>
          <w:p w14:paraId="403CC84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w:t>
            </w:r>
          </w:p>
        </w:tc>
        <w:tc>
          <w:tcPr>
            <w:tcW w:w="700" w:type="dxa"/>
            <w:tcBorders>
              <w:top w:val="nil"/>
              <w:left w:val="nil"/>
              <w:bottom w:val="single" w:sz="4" w:space="0" w:color="auto"/>
              <w:right w:val="single" w:sz="4" w:space="0" w:color="auto"/>
            </w:tcBorders>
            <w:shd w:val="clear" w:color="auto" w:fill="auto"/>
            <w:noWrap/>
            <w:vAlign w:val="bottom"/>
            <w:hideMark/>
          </w:tcPr>
          <w:p w14:paraId="76DC043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134</w:t>
            </w:r>
          </w:p>
        </w:tc>
        <w:tc>
          <w:tcPr>
            <w:tcW w:w="700" w:type="dxa"/>
            <w:tcBorders>
              <w:top w:val="nil"/>
              <w:left w:val="nil"/>
              <w:bottom w:val="single" w:sz="4" w:space="0" w:color="auto"/>
              <w:right w:val="single" w:sz="4" w:space="0" w:color="auto"/>
            </w:tcBorders>
            <w:shd w:val="clear" w:color="auto" w:fill="auto"/>
            <w:noWrap/>
            <w:vAlign w:val="bottom"/>
            <w:hideMark/>
          </w:tcPr>
          <w:p w14:paraId="719A833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w:t>
            </w:r>
          </w:p>
        </w:tc>
        <w:tc>
          <w:tcPr>
            <w:tcW w:w="88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FA837D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12.4%</w:t>
            </w:r>
          </w:p>
        </w:tc>
        <w:tc>
          <w:tcPr>
            <w:tcW w:w="8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72CD6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87.6%</w:t>
            </w:r>
          </w:p>
        </w:tc>
        <w:tc>
          <w:tcPr>
            <w:tcW w:w="820" w:type="dxa"/>
            <w:tcBorders>
              <w:top w:val="single" w:sz="4" w:space="0" w:color="auto"/>
              <w:left w:val="single" w:sz="4" w:space="0" w:color="auto"/>
              <w:bottom w:val="single" w:sz="4" w:space="0" w:color="auto"/>
              <w:right w:val="single" w:sz="4" w:space="0" w:color="auto"/>
            </w:tcBorders>
            <w:shd w:val="clear" w:color="000000" w:fill="AAD58A"/>
            <w:noWrap/>
            <w:vAlign w:val="bottom"/>
            <w:hideMark/>
          </w:tcPr>
          <w:p w14:paraId="663EDF4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21.6%</w:t>
            </w:r>
          </w:p>
        </w:tc>
      </w:tr>
      <w:tr w:rsidR="004F1CEA" w:rsidRPr="004F1CEA" w14:paraId="0C165D53"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035E06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Swall Meadows</w:t>
            </w:r>
          </w:p>
        </w:tc>
        <w:tc>
          <w:tcPr>
            <w:tcW w:w="860" w:type="dxa"/>
            <w:tcBorders>
              <w:top w:val="nil"/>
              <w:left w:val="nil"/>
              <w:bottom w:val="single" w:sz="4" w:space="0" w:color="auto"/>
              <w:right w:val="single" w:sz="4" w:space="0" w:color="auto"/>
            </w:tcBorders>
            <w:shd w:val="clear" w:color="auto" w:fill="auto"/>
            <w:noWrap/>
            <w:vAlign w:val="bottom"/>
            <w:hideMark/>
          </w:tcPr>
          <w:p w14:paraId="0DEDD55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220</w:t>
            </w:r>
          </w:p>
        </w:tc>
        <w:tc>
          <w:tcPr>
            <w:tcW w:w="720" w:type="dxa"/>
            <w:tcBorders>
              <w:top w:val="single" w:sz="4" w:space="0" w:color="auto"/>
              <w:left w:val="single" w:sz="4" w:space="0" w:color="auto"/>
              <w:bottom w:val="single" w:sz="4" w:space="0" w:color="auto"/>
              <w:right w:val="single" w:sz="4" w:space="0" w:color="auto"/>
            </w:tcBorders>
            <w:shd w:val="clear" w:color="000000" w:fill="69C07D"/>
            <w:noWrap/>
            <w:vAlign w:val="bottom"/>
            <w:hideMark/>
          </w:tcPr>
          <w:p w14:paraId="781F086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53.8</w:t>
            </w:r>
          </w:p>
        </w:tc>
        <w:tc>
          <w:tcPr>
            <w:tcW w:w="660" w:type="dxa"/>
            <w:tcBorders>
              <w:top w:val="nil"/>
              <w:left w:val="nil"/>
              <w:bottom w:val="single" w:sz="4" w:space="0" w:color="auto"/>
              <w:right w:val="single" w:sz="4" w:space="0" w:color="auto"/>
            </w:tcBorders>
            <w:shd w:val="clear" w:color="auto" w:fill="auto"/>
            <w:noWrap/>
            <w:vAlign w:val="bottom"/>
            <w:hideMark/>
          </w:tcPr>
          <w:p w14:paraId="599168E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36</w:t>
            </w:r>
          </w:p>
        </w:tc>
        <w:tc>
          <w:tcPr>
            <w:tcW w:w="700" w:type="dxa"/>
            <w:tcBorders>
              <w:top w:val="nil"/>
              <w:left w:val="nil"/>
              <w:bottom w:val="single" w:sz="4" w:space="0" w:color="auto"/>
              <w:right w:val="single" w:sz="4" w:space="0" w:color="auto"/>
            </w:tcBorders>
            <w:shd w:val="clear" w:color="auto" w:fill="auto"/>
            <w:noWrap/>
            <w:vAlign w:val="bottom"/>
            <w:hideMark/>
          </w:tcPr>
          <w:p w14:paraId="3A721C8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184</w:t>
            </w:r>
          </w:p>
        </w:tc>
        <w:tc>
          <w:tcPr>
            <w:tcW w:w="700" w:type="dxa"/>
            <w:tcBorders>
              <w:top w:val="nil"/>
              <w:left w:val="nil"/>
              <w:bottom w:val="single" w:sz="4" w:space="0" w:color="auto"/>
              <w:right w:val="single" w:sz="4" w:space="0" w:color="auto"/>
            </w:tcBorders>
            <w:shd w:val="clear" w:color="auto" w:fill="auto"/>
            <w:noWrap/>
            <w:vAlign w:val="bottom"/>
            <w:hideMark/>
          </w:tcPr>
          <w:p w14:paraId="46BDC3E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42</w:t>
            </w:r>
          </w:p>
        </w:tc>
        <w:tc>
          <w:tcPr>
            <w:tcW w:w="880" w:type="dxa"/>
            <w:tcBorders>
              <w:top w:val="single" w:sz="4" w:space="0" w:color="auto"/>
              <w:left w:val="single" w:sz="4" w:space="0" w:color="auto"/>
              <w:bottom w:val="single" w:sz="4" w:space="0" w:color="auto"/>
              <w:right w:val="single" w:sz="4" w:space="0" w:color="auto"/>
            </w:tcBorders>
            <w:shd w:val="clear" w:color="000000" w:fill="E3E696"/>
            <w:noWrap/>
            <w:vAlign w:val="bottom"/>
            <w:hideMark/>
          </w:tcPr>
          <w:p w14:paraId="79126D9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16.4%</w:t>
            </w:r>
          </w:p>
        </w:tc>
        <w:tc>
          <w:tcPr>
            <w:tcW w:w="880" w:type="dxa"/>
            <w:tcBorders>
              <w:top w:val="single" w:sz="4" w:space="0" w:color="auto"/>
              <w:left w:val="single" w:sz="4" w:space="0" w:color="auto"/>
              <w:bottom w:val="single" w:sz="4" w:space="0" w:color="auto"/>
              <w:right w:val="single" w:sz="4" w:space="0" w:color="auto"/>
            </w:tcBorders>
            <w:shd w:val="clear" w:color="000000" w:fill="80C882"/>
            <w:noWrap/>
            <w:vAlign w:val="bottom"/>
            <w:hideMark/>
          </w:tcPr>
          <w:p w14:paraId="5302CB1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83.6%</w:t>
            </w:r>
          </w:p>
        </w:tc>
        <w:tc>
          <w:tcPr>
            <w:tcW w:w="820" w:type="dxa"/>
            <w:tcBorders>
              <w:top w:val="single" w:sz="4" w:space="0" w:color="auto"/>
              <w:left w:val="single" w:sz="4" w:space="0" w:color="auto"/>
              <w:bottom w:val="single" w:sz="4" w:space="0" w:color="auto"/>
              <w:right w:val="single" w:sz="4" w:space="0" w:color="auto"/>
            </w:tcBorders>
            <w:shd w:val="clear" w:color="000000" w:fill="B8D98D"/>
            <w:noWrap/>
            <w:vAlign w:val="bottom"/>
            <w:hideMark/>
          </w:tcPr>
          <w:p w14:paraId="2D3602C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19.1%</w:t>
            </w:r>
          </w:p>
        </w:tc>
      </w:tr>
      <w:tr w:rsidR="004F1CEA" w:rsidRPr="004F1CEA" w14:paraId="3FF84042"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106ED6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Sunny Slopes</w:t>
            </w:r>
          </w:p>
        </w:tc>
        <w:tc>
          <w:tcPr>
            <w:tcW w:w="860" w:type="dxa"/>
            <w:tcBorders>
              <w:top w:val="nil"/>
              <w:left w:val="nil"/>
              <w:bottom w:val="single" w:sz="4" w:space="0" w:color="auto"/>
              <w:right w:val="single" w:sz="4" w:space="0" w:color="auto"/>
            </w:tcBorders>
            <w:shd w:val="clear" w:color="auto" w:fill="auto"/>
            <w:noWrap/>
            <w:vAlign w:val="bottom"/>
            <w:hideMark/>
          </w:tcPr>
          <w:p w14:paraId="11CD6CD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182</w:t>
            </w:r>
          </w:p>
        </w:tc>
        <w:tc>
          <w:tcPr>
            <w:tcW w:w="720" w:type="dxa"/>
            <w:tcBorders>
              <w:top w:val="single" w:sz="4" w:space="0" w:color="auto"/>
              <w:left w:val="single" w:sz="4" w:space="0" w:color="auto"/>
              <w:bottom w:val="single" w:sz="4" w:space="0" w:color="auto"/>
              <w:right w:val="single" w:sz="4" w:space="0" w:color="auto"/>
            </w:tcBorders>
            <w:shd w:val="clear" w:color="000000" w:fill="8CCB84"/>
            <w:noWrap/>
            <w:vAlign w:val="bottom"/>
            <w:hideMark/>
          </w:tcPr>
          <w:p w14:paraId="10D6573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47.2</w:t>
            </w:r>
          </w:p>
        </w:tc>
        <w:tc>
          <w:tcPr>
            <w:tcW w:w="660" w:type="dxa"/>
            <w:tcBorders>
              <w:top w:val="nil"/>
              <w:left w:val="nil"/>
              <w:bottom w:val="single" w:sz="4" w:space="0" w:color="auto"/>
              <w:right w:val="single" w:sz="4" w:space="0" w:color="auto"/>
            </w:tcBorders>
            <w:shd w:val="clear" w:color="auto" w:fill="auto"/>
            <w:noWrap/>
            <w:vAlign w:val="bottom"/>
            <w:hideMark/>
          </w:tcPr>
          <w:p w14:paraId="09DBC4C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w:t>
            </w:r>
          </w:p>
        </w:tc>
        <w:tc>
          <w:tcPr>
            <w:tcW w:w="700" w:type="dxa"/>
            <w:tcBorders>
              <w:top w:val="nil"/>
              <w:left w:val="nil"/>
              <w:bottom w:val="single" w:sz="4" w:space="0" w:color="auto"/>
              <w:right w:val="single" w:sz="4" w:space="0" w:color="auto"/>
            </w:tcBorders>
            <w:shd w:val="clear" w:color="auto" w:fill="auto"/>
            <w:noWrap/>
            <w:vAlign w:val="bottom"/>
            <w:hideMark/>
          </w:tcPr>
          <w:p w14:paraId="4F18AED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154</w:t>
            </w:r>
          </w:p>
        </w:tc>
        <w:tc>
          <w:tcPr>
            <w:tcW w:w="700" w:type="dxa"/>
            <w:tcBorders>
              <w:top w:val="nil"/>
              <w:left w:val="nil"/>
              <w:bottom w:val="single" w:sz="4" w:space="0" w:color="auto"/>
              <w:right w:val="single" w:sz="4" w:space="0" w:color="auto"/>
            </w:tcBorders>
            <w:shd w:val="clear" w:color="auto" w:fill="auto"/>
            <w:noWrap/>
            <w:vAlign w:val="bottom"/>
            <w:hideMark/>
          </w:tcPr>
          <w:p w14:paraId="00F7DF2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w:t>
            </w:r>
          </w:p>
        </w:tc>
        <w:tc>
          <w:tcPr>
            <w:tcW w:w="880" w:type="dxa"/>
            <w:tcBorders>
              <w:top w:val="single" w:sz="4" w:space="0" w:color="auto"/>
              <w:left w:val="single" w:sz="4" w:space="0" w:color="auto"/>
              <w:bottom w:val="single" w:sz="4" w:space="0" w:color="auto"/>
              <w:right w:val="single" w:sz="4" w:space="0" w:color="auto"/>
            </w:tcBorders>
            <w:shd w:val="clear" w:color="000000" w:fill="EAE998"/>
            <w:noWrap/>
            <w:vAlign w:val="bottom"/>
            <w:hideMark/>
          </w:tcPr>
          <w:p w14:paraId="4037758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15.4%</w:t>
            </w:r>
          </w:p>
        </w:tc>
        <w:tc>
          <w:tcPr>
            <w:tcW w:w="880" w:type="dxa"/>
            <w:tcBorders>
              <w:top w:val="single" w:sz="4" w:space="0" w:color="auto"/>
              <w:left w:val="single" w:sz="4" w:space="0" w:color="auto"/>
              <w:bottom w:val="single" w:sz="4" w:space="0" w:color="auto"/>
              <w:right w:val="single" w:sz="4" w:space="0" w:color="auto"/>
            </w:tcBorders>
            <w:shd w:val="clear" w:color="000000" w:fill="79C580"/>
            <w:noWrap/>
            <w:vAlign w:val="bottom"/>
            <w:hideMark/>
          </w:tcPr>
          <w:p w14:paraId="2AA406D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84.6%</w:t>
            </w:r>
          </w:p>
        </w:tc>
        <w:tc>
          <w:tcPr>
            <w:tcW w:w="820" w:type="dxa"/>
            <w:tcBorders>
              <w:top w:val="single" w:sz="4" w:space="0" w:color="auto"/>
              <w:left w:val="single" w:sz="4" w:space="0" w:color="auto"/>
              <w:bottom w:val="single" w:sz="4" w:space="0" w:color="auto"/>
              <w:right w:val="single" w:sz="4" w:space="0" w:color="auto"/>
            </w:tcBorders>
            <w:shd w:val="clear" w:color="000000" w:fill="E6E797"/>
            <w:noWrap/>
            <w:vAlign w:val="bottom"/>
            <w:hideMark/>
          </w:tcPr>
          <w:p w14:paraId="71A7731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11.0%</w:t>
            </w:r>
          </w:p>
        </w:tc>
      </w:tr>
      <w:tr w:rsidR="004F1CEA" w:rsidRPr="004F1CEA" w14:paraId="4316C4AE"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1C5EF48" w14:textId="77777777" w:rsidR="004F1CEA" w:rsidRPr="004F1CEA" w:rsidRDefault="00022FE4" w:rsidP="004F1CEA">
            <w:pPr>
              <w:spacing w:after="0" w:line="240" w:lineRule="auto"/>
              <w:rPr>
                <w:rFonts w:eastAsia="Times New Roman" w:cs="Times New Roman"/>
                <w:color w:val="000000"/>
              </w:rPr>
            </w:pPr>
            <w:r>
              <w:rPr>
                <w:rFonts w:eastAsia="Times New Roman" w:cs="Times New Roman"/>
                <w:color w:val="000000"/>
              </w:rPr>
              <w:t>Asp</w:t>
            </w:r>
            <w:r w:rsidR="004F1CEA" w:rsidRPr="004F1CEA">
              <w:rPr>
                <w:rFonts w:eastAsia="Times New Roman" w:cs="Times New Roman"/>
                <w:color w:val="000000"/>
              </w:rPr>
              <w:t>en Springs</w:t>
            </w:r>
          </w:p>
        </w:tc>
        <w:tc>
          <w:tcPr>
            <w:tcW w:w="860" w:type="dxa"/>
            <w:tcBorders>
              <w:top w:val="nil"/>
              <w:left w:val="nil"/>
              <w:bottom w:val="single" w:sz="4" w:space="0" w:color="auto"/>
              <w:right w:val="single" w:sz="4" w:space="0" w:color="auto"/>
            </w:tcBorders>
            <w:shd w:val="clear" w:color="auto" w:fill="auto"/>
            <w:noWrap/>
            <w:vAlign w:val="bottom"/>
            <w:hideMark/>
          </w:tcPr>
          <w:p w14:paraId="117965B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w:t>
            </w:r>
          </w:p>
        </w:tc>
        <w:tc>
          <w:tcPr>
            <w:tcW w:w="72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793EE42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47.8</w:t>
            </w:r>
          </w:p>
        </w:tc>
        <w:tc>
          <w:tcPr>
            <w:tcW w:w="660" w:type="dxa"/>
            <w:tcBorders>
              <w:top w:val="nil"/>
              <w:left w:val="nil"/>
              <w:bottom w:val="single" w:sz="4" w:space="0" w:color="auto"/>
              <w:right w:val="single" w:sz="4" w:space="0" w:color="auto"/>
            </w:tcBorders>
            <w:shd w:val="clear" w:color="auto" w:fill="auto"/>
            <w:noWrap/>
            <w:vAlign w:val="bottom"/>
            <w:hideMark/>
          </w:tcPr>
          <w:p w14:paraId="7CC4B15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c>
          <w:tcPr>
            <w:tcW w:w="700" w:type="dxa"/>
            <w:tcBorders>
              <w:top w:val="nil"/>
              <w:left w:val="nil"/>
              <w:bottom w:val="single" w:sz="4" w:space="0" w:color="auto"/>
              <w:right w:val="single" w:sz="4" w:space="0" w:color="auto"/>
            </w:tcBorders>
            <w:shd w:val="clear" w:color="auto" w:fill="auto"/>
            <w:noWrap/>
            <w:vAlign w:val="bottom"/>
            <w:hideMark/>
          </w:tcPr>
          <w:p w14:paraId="20D467E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w:t>
            </w:r>
          </w:p>
        </w:tc>
        <w:tc>
          <w:tcPr>
            <w:tcW w:w="700" w:type="dxa"/>
            <w:tcBorders>
              <w:top w:val="nil"/>
              <w:left w:val="nil"/>
              <w:bottom w:val="single" w:sz="4" w:space="0" w:color="auto"/>
              <w:right w:val="single" w:sz="4" w:space="0" w:color="auto"/>
            </w:tcBorders>
            <w:shd w:val="clear" w:color="auto" w:fill="auto"/>
            <w:noWrap/>
            <w:vAlign w:val="bottom"/>
            <w:hideMark/>
          </w:tcPr>
          <w:p w14:paraId="0FA2777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w:t>
            </w:r>
          </w:p>
        </w:tc>
        <w:tc>
          <w:tcPr>
            <w:tcW w:w="880" w:type="dxa"/>
            <w:tcBorders>
              <w:top w:val="single" w:sz="4" w:space="0" w:color="auto"/>
              <w:left w:val="single" w:sz="4" w:space="0" w:color="auto"/>
              <w:bottom w:val="single" w:sz="4" w:space="0" w:color="auto"/>
              <w:right w:val="single" w:sz="4" w:space="0" w:color="auto"/>
            </w:tcBorders>
            <w:shd w:val="clear" w:color="000000" w:fill="BDDB8E"/>
            <w:noWrap/>
            <w:vAlign w:val="bottom"/>
            <w:hideMark/>
          </w:tcPr>
          <w:p w14:paraId="66CDB75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21.5%</w:t>
            </w:r>
          </w:p>
        </w:tc>
        <w:tc>
          <w:tcPr>
            <w:tcW w:w="880" w:type="dxa"/>
            <w:tcBorders>
              <w:top w:val="single" w:sz="4" w:space="0" w:color="auto"/>
              <w:left w:val="single" w:sz="4" w:space="0" w:color="auto"/>
              <w:bottom w:val="single" w:sz="4" w:space="0" w:color="auto"/>
              <w:right w:val="single" w:sz="4" w:space="0" w:color="auto"/>
            </w:tcBorders>
            <w:shd w:val="clear" w:color="000000" w:fill="A6D38A"/>
            <w:noWrap/>
            <w:vAlign w:val="bottom"/>
            <w:hideMark/>
          </w:tcPr>
          <w:p w14:paraId="7CFF7DC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78.5%</w:t>
            </w:r>
          </w:p>
        </w:tc>
        <w:tc>
          <w:tcPr>
            <w:tcW w:w="820" w:type="dxa"/>
            <w:tcBorders>
              <w:top w:val="single" w:sz="4" w:space="0" w:color="auto"/>
              <w:left w:val="single" w:sz="4" w:space="0" w:color="auto"/>
              <w:bottom w:val="single" w:sz="4" w:space="0" w:color="auto"/>
              <w:right w:val="single" w:sz="4" w:space="0" w:color="auto"/>
            </w:tcBorders>
            <w:shd w:val="clear" w:color="000000" w:fill="E7E897"/>
            <w:noWrap/>
            <w:vAlign w:val="bottom"/>
            <w:hideMark/>
          </w:tcPr>
          <w:p w14:paraId="7088970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10.8%</w:t>
            </w:r>
          </w:p>
        </w:tc>
      </w:tr>
      <w:tr w:rsidR="004F1CEA" w:rsidRPr="004F1CEA" w14:paraId="39C8CB36"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B8418A8"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Crowley Lake</w:t>
            </w:r>
          </w:p>
        </w:tc>
        <w:tc>
          <w:tcPr>
            <w:tcW w:w="860" w:type="dxa"/>
            <w:tcBorders>
              <w:top w:val="nil"/>
              <w:left w:val="nil"/>
              <w:bottom w:val="single" w:sz="4" w:space="0" w:color="auto"/>
              <w:right w:val="single" w:sz="4" w:space="0" w:color="auto"/>
            </w:tcBorders>
            <w:shd w:val="clear" w:color="auto" w:fill="auto"/>
            <w:noWrap/>
            <w:vAlign w:val="bottom"/>
            <w:hideMark/>
          </w:tcPr>
          <w:p w14:paraId="75B2CFE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875</w:t>
            </w:r>
          </w:p>
        </w:tc>
        <w:tc>
          <w:tcPr>
            <w:tcW w:w="720" w:type="dxa"/>
            <w:tcBorders>
              <w:top w:val="single" w:sz="4" w:space="0" w:color="auto"/>
              <w:left w:val="single" w:sz="4" w:space="0" w:color="auto"/>
              <w:bottom w:val="single" w:sz="4" w:space="0" w:color="auto"/>
              <w:right w:val="single" w:sz="4" w:space="0" w:color="auto"/>
            </w:tcBorders>
            <w:shd w:val="clear" w:color="000000" w:fill="97CF86"/>
            <w:noWrap/>
            <w:vAlign w:val="bottom"/>
            <w:hideMark/>
          </w:tcPr>
          <w:p w14:paraId="67DDC55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45.1</w:t>
            </w:r>
          </w:p>
        </w:tc>
        <w:tc>
          <w:tcPr>
            <w:tcW w:w="660" w:type="dxa"/>
            <w:tcBorders>
              <w:top w:val="nil"/>
              <w:left w:val="nil"/>
              <w:bottom w:val="single" w:sz="4" w:space="0" w:color="auto"/>
              <w:right w:val="single" w:sz="4" w:space="0" w:color="auto"/>
            </w:tcBorders>
            <w:shd w:val="clear" w:color="auto" w:fill="auto"/>
            <w:noWrap/>
            <w:vAlign w:val="bottom"/>
            <w:hideMark/>
          </w:tcPr>
          <w:p w14:paraId="41E7F23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210</w:t>
            </w:r>
          </w:p>
        </w:tc>
        <w:tc>
          <w:tcPr>
            <w:tcW w:w="700" w:type="dxa"/>
            <w:tcBorders>
              <w:top w:val="nil"/>
              <w:left w:val="nil"/>
              <w:bottom w:val="single" w:sz="4" w:space="0" w:color="auto"/>
              <w:right w:val="single" w:sz="4" w:space="0" w:color="auto"/>
            </w:tcBorders>
            <w:shd w:val="clear" w:color="auto" w:fill="auto"/>
            <w:noWrap/>
            <w:vAlign w:val="bottom"/>
            <w:hideMark/>
          </w:tcPr>
          <w:p w14:paraId="7A442BD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665</w:t>
            </w:r>
          </w:p>
        </w:tc>
        <w:tc>
          <w:tcPr>
            <w:tcW w:w="700" w:type="dxa"/>
            <w:tcBorders>
              <w:top w:val="nil"/>
              <w:left w:val="nil"/>
              <w:bottom w:val="single" w:sz="4" w:space="0" w:color="auto"/>
              <w:right w:val="single" w:sz="4" w:space="0" w:color="auto"/>
            </w:tcBorders>
            <w:shd w:val="clear" w:color="auto" w:fill="auto"/>
            <w:noWrap/>
            <w:vAlign w:val="bottom"/>
            <w:hideMark/>
          </w:tcPr>
          <w:p w14:paraId="24533E6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105</w:t>
            </w:r>
          </w:p>
        </w:tc>
        <w:tc>
          <w:tcPr>
            <w:tcW w:w="880" w:type="dxa"/>
            <w:tcBorders>
              <w:top w:val="single" w:sz="4" w:space="0" w:color="auto"/>
              <w:left w:val="single" w:sz="4" w:space="0" w:color="auto"/>
              <w:bottom w:val="single" w:sz="4" w:space="0" w:color="auto"/>
              <w:right w:val="single" w:sz="4" w:space="0" w:color="auto"/>
            </w:tcBorders>
            <w:shd w:val="clear" w:color="000000" w:fill="ABD58B"/>
            <w:noWrap/>
            <w:vAlign w:val="bottom"/>
            <w:hideMark/>
          </w:tcPr>
          <w:p w14:paraId="288E117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24.0%</w:t>
            </w:r>
          </w:p>
        </w:tc>
        <w:tc>
          <w:tcPr>
            <w:tcW w:w="880" w:type="dxa"/>
            <w:tcBorders>
              <w:top w:val="single" w:sz="4" w:space="0" w:color="auto"/>
              <w:left w:val="single" w:sz="4" w:space="0" w:color="auto"/>
              <w:bottom w:val="single" w:sz="4" w:space="0" w:color="auto"/>
              <w:right w:val="single" w:sz="4" w:space="0" w:color="auto"/>
            </w:tcBorders>
            <w:shd w:val="clear" w:color="000000" w:fill="B8D98D"/>
            <w:noWrap/>
            <w:vAlign w:val="bottom"/>
            <w:hideMark/>
          </w:tcPr>
          <w:p w14:paraId="6D41F65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76.0%</w:t>
            </w:r>
          </w:p>
        </w:tc>
        <w:tc>
          <w:tcPr>
            <w:tcW w:w="820"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14:paraId="1693A90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12.0%</w:t>
            </w:r>
          </w:p>
        </w:tc>
      </w:tr>
      <w:tr w:rsidR="004F1CEA" w:rsidRPr="004F1CEA" w14:paraId="3BB76E26"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728A3A4"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McGee Creek</w:t>
            </w:r>
          </w:p>
        </w:tc>
        <w:tc>
          <w:tcPr>
            <w:tcW w:w="860" w:type="dxa"/>
            <w:tcBorders>
              <w:top w:val="nil"/>
              <w:left w:val="nil"/>
              <w:bottom w:val="single" w:sz="4" w:space="0" w:color="auto"/>
              <w:right w:val="single" w:sz="4" w:space="0" w:color="auto"/>
            </w:tcBorders>
            <w:shd w:val="clear" w:color="auto" w:fill="auto"/>
            <w:noWrap/>
            <w:vAlign w:val="bottom"/>
            <w:hideMark/>
          </w:tcPr>
          <w:p w14:paraId="1D1AC04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w:t>
            </w:r>
          </w:p>
        </w:tc>
        <w:tc>
          <w:tcPr>
            <w:tcW w:w="7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4FBE7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54.8</w:t>
            </w:r>
          </w:p>
        </w:tc>
        <w:tc>
          <w:tcPr>
            <w:tcW w:w="660" w:type="dxa"/>
            <w:tcBorders>
              <w:top w:val="nil"/>
              <w:left w:val="nil"/>
              <w:bottom w:val="single" w:sz="4" w:space="0" w:color="auto"/>
              <w:right w:val="single" w:sz="4" w:space="0" w:color="auto"/>
            </w:tcBorders>
            <w:shd w:val="clear" w:color="auto" w:fill="auto"/>
            <w:noWrap/>
            <w:vAlign w:val="bottom"/>
            <w:hideMark/>
          </w:tcPr>
          <w:p w14:paraId="5C49833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w:t>
            </w:r>
          </w:p>
        </w:tc>
        <w:tc>
          <w:tcPr>
            <w:tcW w:w="700" w:type="dxa"/>
            <w:tcBorders>
              <w:top w:val="nil"/>
              <w:left w:val="nil"/>
              <w:bottom w:val="single" w:sz="4" w:space="0" w:color="auto"/>
              <w:right w:val="single" w:sz="4" w:space="0" w:color="auto"/>
            </w:tcBorders>
            <w:shd w:val="clear" w:color="auto" w:fill="auto"/>
            <w:noWrap/>
            <w:vAlign w:val="bottom"/>
            <w:hideMark/>
          </w:tcPr>
          <w:p w14:paraId="0B3B951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34</w:t>
            </w:r>
          </w:p>
        </w:tc>
        <w:tc>
          <w:tcPr>
            <w:tcW w:w="700" w:type="dxa"/>
            <w:tcBorders>
              <w:top w:val="nil"/>
              <w:left w:val="nil"/>
              <w:bottom w:val="single" w:sz="4" w:space="0" w:color="auto"/>
              <w:right w:val="single" w:sz="4" w:space="0" w:color="auto"/>
            </w:tcBorders>
            <w:shd w:val="clear" w:color="auto" w:fill="auto"/>
            <w:noWrap/>
            <w:vAlign w:val="bottom"/>
            <w:hideMark/>
          </w:tcPr>
          <w:p w14:paraId="07D48C5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c>
          <w:tcPr>
            <w:tcW w:w="880"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14:paraId="0017F94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17.1%</w:t>
            </w:r>
          </w:p>
        </w:tc>
        <w:tc>
          <w:tcPr>
            <w:tcW w:w="880" w:type="dxa"/>
            <w:tcBorders>
              <w:top w:val="single" w:sz="4" w:space="0" w:color="auto"/>
              <w:left w:val="single" w:sz="4" w:space="0" w:color="auto"/>
              <w:bottom w:val="single" w:sz="4" w:space="0" w:color="auto"/>
              <w:right w:val="single" w:sz="4" w:space="0" w:color="auto"/>
            </w:tcBorders>
            <w:shd w:val="clear" w:color="000000" w:fill="86C983"/>
            <w:noWrap/>
            <w:vAlign w:val="bottom"/>
            <w:hideMark/>
          </w:tcPr>
          <w:p w14:paraId="32C2402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82.9%</w:t>
            </w:r>
          </w:p>
        </w:tc>
        <w:tc>
          <w:tcPr>
            <w:tcW w:w="8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123F69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34.1%</w:t>
            </w:r>
          </w:p>
        </w:tc>
      </w:tr>
      <w:tr w:rsidR="004F1CEA" w:rsidRPr="004F1CEA" w14:paraId="09800B51"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7096E3E"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June Lake</w:t>
            </w:r>
          </w:p>
        </w:tc>
        <w:tc>
          <w:tcPr>
            <w:tcW w:w="860" w:type="dxa"/>
            <w:tcBorders>
              <w:top w:val="nil"/>
              <w:left w:val="nil"/>
              <w:bottom w:val="single" w:sz="4" w:space="0" w:color="auto"/>
              <w:right w:val="single" w:sz="4" w:space="0" w:color="auto"/>
            </w:tcBorders>
            <w:shd w:val="clear" w:color="auto" w:fill="auto"/>
            <w:noWrap/>
            <w:vAlign w:val="bottom"/>
            <w:hideMark/>
          </w:tcPr>
          <w:p w14:paraId="0FD6EA1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629</w:t>
            </w:r>
          </w:p>
        </w:tc>
        <w:tc>
          <w:tcPr>
            <w:tcW w:w="720" w:type="dxa"/>
            <w:tcBorders>
              <w:top w:val="single" w:sz="4" w:space="0" w:color="auto"/>
              <w:left w:val="single" w:sz="4" w:space="0" w:color="auto"/>
              <w:bottom w:val="single" w:sz="4" w:space="0" w:color="auto"/>
              <w:right w:val="single" w:sz="4" w:space="0" w:color="auto"/>
            </w:tcBorders>
            <w:shd w:val="clear" w:color="000000" w:fill="AAD58A"/>
            <w:noWrap/>
            <w:vAlign w:val="bottom"/>
            <w:hideMark/>
          </w:tcPr>
          <w:p w14:paraId="42E006B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41.7</w:t>
            </w:r>
          </w:p>
        </w:tc>
        <w:tc>
          <w:tcPr>
            <w:tcW w:w="660" w:type="dxa"/>
            <w:tcBorders>
              <w:top w:val="nil"/>
              <w:left w:val="nil"/>
              <w:bottom w:val="single" w:sz="4" w:space="0" w:color="auto"/>
              <w:right w:val="single" w:sz="4" w:space="0" w:color="auto"/>
            </w:tcBorders>
            <w:shd w:val="clear" w:color="auto" w:fill="auto"/>
            <w:noWrap/>
            <w:vAlign w:val="bottom"/>
            <w:hideMark/>
          </w:tcPr>
          <w:p w14:paraId="276F874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116</w:t>
            </w:r>
          </w:p>
        </w:tc>
        <w:tc>
          <w:tcPr>
            <w:tcW w:w="700" w:type="dxa"/>
            <w:tcBorders>
              <w:top w:val="nil"/>
              <w:left w:val="nil"/>
              <w:bottom w:val="single" w:sz="4" w:space="0" w:color="auto"/>
              <w:right w:val="single" w:sz="4" w:space="0" w:color="auto"/>
            </w:tcBorders>
            <w:shd w:val="clear" w:color="auto" w:fill="auto"/>
            <w:noWrap/>
            <w:vAlign w:val="bottom"/>
            <w:hideMark/>
          </w:tcPr>
          <w:p w14:paraId="7CA6A4D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513</w:t>
            </w:r>
          </w:p>
        </w:tc>
        <w:tc>
          <w:tcPr>
            <w:tcW w:w="700" w:type="dxa"/>
            <w:tcBorders>
              <w:top w:val="nil"/>
              <w:left w:val="nil"/>
              <w:bottom w:val="single" w:sz="4" w:space="0" w:color="auto"/>
              <w:right w:val="single" w:sz="4" w:space="0" w:color="auto"/>
            </w:tcBorders>
            <w:shd w:val="clear" w:color="auto" w:fill="auto"/>
            <w:noWrap/>
            <w:vAlign w:val="bottom"/>
            <w:hideMark/>
          </w:tcPr>
          <w:p w14:paraId="200E75F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70</w:t>
            </w:r>
          </w:p>
        </w:tc>
        <w:tc>
          <w:tcPr>
            <w:tcW w:w="880" w:type="dxa"/>
            <w:tcBorders>
              <w:top w:val="single" w:sz="4" w:space="0" w:color="auto"/>
              <w:left w:val="single" w:sz="4" w:space="0" w:color="auto"/>
              <w:bottom w:val="single" w:sz="4" w:space="0" w:color="auto"/>
              <w:right w:val="single" w:sz="4" w:space="0" w:color="auto"/>
            </w:tcBorders>
            <w:shd w:val="clear" w:color="000000" w:fill="D3E293"/>
            <w:noWrap/>
            <w:vAlign w:val="bottom"/>
            <w:hideMark/>
          </w:tcPr>
          <w:p w14:paraId="65D1596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18.4%</w:t>
            </w:r>
          </w:p>
        </w:tc>
        <w:tc>
          <w:tcPr>
            <w:tcW w:w="880" w:type="dxa"/>
            <w:tcBorders>
              <w:top w:val="single" w:sz="4" w:space="0" w:color="auto"/>
              <w:left w:val="single" w:sz="4" w:space="0" w:color="auto"/>
              <w:bottom w:val="single" w:sz="4" w:space="0" w:color="auto"/>
              <w:right w:val="single" w:sz="4" w:space="0" w:color="auto"/>
            </w:tcBorders>
            <w:shd w:val="clear" w:color="000000" w:fill="90CC85"/>
            <w:noWrap/>
            <w:vAlign w:val="bottom"/>
            <w:hideMark/>
          </w:tcPr>
          <w:p w14:paraId="2B60A7B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81.6%</w:t>
            </w:r>
          </w:p>
        </w:tc>
        <w:tc>
          <w:tcPr>
            <w:tcW w:w="820" w:type="dxa"/>
            <w:tcBorders>
              <w:top w:val="single" w:sz="4" w:space="0" w:color="auto"/>
              <w:left w:val="single" w:sz="4" w:space="0" w:color="auto"/>
              <w:bottom w:val="single" w:sz="4" w:space="0" w:color="auto"/>
              <w:right w:val="single" w:sz="4" w:space="0" w:color="auto"/>
            </w:tcBorders>
            <w:shd w:val="clear" w:color="000000" w:fill="E5E797"/>
            <w:noWrap/>
            <w:vAlign w:val="bottom"/>
            <w:hideMark/>
          </w:tcPr>
          <w:p w14:paraId="360F717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11.1%</w:t>
            </w:r>
          </w:p>
        </w:tc>
      </w:tr>
      <w:tr w:rsidR="004F1CEA" w:rsidRPr="004F1CEA" w14:paraId="4A14F723"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03EE14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Lee Vining</w:t>
            </w:r>
          </w:p>
        </w:tc>
        <w:tc>
          <w:tcPr>
            <w:tcW w:w="860" w:type="dxa"/>
            <w:tcBorders>
              <w:top w:val="nil"/>
              <w:left w:val="nil"/>
              <w:bottom w:val="single" w:sz="4" w:space="0" w:color="auto"/>
              <w:right w:val="single" w:sz="4" w:space="0" w:color="auto"/>
            </w:tcBorders>
            <w:shd w:val="clear" w:color="auto" w:fill="auto"/>
            <w:noWrap/>
            <w:vAlign w:val="bottom"/>
            <w:hideMark/>
          </w:tcPr>
          <w:p w14:paraId="5755BCE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222</w:t>
            </w:r>
          </w:p>
        </w:tc>
        <w:tc>
          <w:tcPr>
            <w:tcW w:w="720" w:type="dxa"/>
            <w:tcBorders>
              <w:top w:val="single" w:sz="4" w:space="0" w:color="auto"/>
              <w:left w:val="single" w:sz="4" w:space="0" w:color="auto"/>
              <w:bottom w:val="single" w:sz="4" w:space="0" w:color="auto"/>
              <w:right w:val="single" w:sz="4" w:space="0" w:color="auto"/>
            </w:tcBorders>
            <w:shd w:val="clear" w:color="000000" w:fill="E6E897"/>
            <w:noWrap/>
            <w:vAlign w:val="bottom"/>
            <w:hideMark/>
          </w:tcPr>
          <w:p w14:paraId="0F3DE9A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30.4</w:t>
            </w:r>
          </w:p>
        </w:tc>
        <w:tc>
          <w:tcPr>
            <w:tcW w:w="660" w:type="dxa"/>
            <w:tcBorders>
              <w:top w:val="nil"/>
              <w:left w:val="nil"/>
              <w:bottom w:val="single" w:sz="4" w:space="0" w:color="auto"/>
              <w:right w:val="single" w:sz="4" w:space="0" w:color="auto"/>
            </w:tcBorders>
            <w:shd w:val="clear" w:color="auto" w:fill="auto"/>
            <w:noWrap/>
            <w:vAlign w:val="bottom"/>
            <w:hideMark/>
          </w:tcPr>
          <w:p w14:paraId="55387FE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56</w:t>
            </w:r>
          </w:p>
        </w:tc>
        <w:tc>
          <w:tcPr>
            <w:tcW w:w="700" w:type="dxa"/>
            <w:tcBorders>
              <w:top w:val="nil"/>
              <w:left w:val="nil"/>
              <w:bottom w:val="single" w:sz="4" w:space="0" w:color="auto"/>
              <w:right w:val="single" w:sz="4" w:space="0" w:color="auto"/>
            </w:tcBorders>
            <w:shd w:val="clear" w:color="auto" w:fill="auto"/>
            <w:noWrap/>
            <w:vAlign w:val="bottom"/>
            <w:hideMark/>
          </w:tcPr>
          <w:p w14:paraId="7390C15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166</w:t>
            </w:r>
          </w:p>
        </w:tc>
        <w:tc>
          <w:tcPr>
            <w:tcW w:w="700" w:type="dxa"/>
            <w:tcBorders>
              <w:top w:val="nil"/>
              <w:left w:val="nil"/>
              <w:bottom w:val="single" w:sz="4" w:space="0" w:color="auto"/>
              <w:right w:val="single" w:sz="4" w:space="0" w:color="auto"/>
            </w:tcBorders>
            <w:shd w:val="clear" w:color="auto" w:fill="auto"/>
            <w:noWrap/>
            <w:vAlign w:val="bottom"/>
            <w:hideMark/>
          </w:tcPr>
          <w:p w14:paraId="135759A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w:t>
            </w:r>
          </w:p>
        </w:tc>
        <w:tc>
          <w:tcPr>
            <w:tcW w:w="88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14:paraId="1916B36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25.2%</w:t>
            </w:r>
          </w:p>
        </w:tc>
        <w:tc>
          <w:tcPr>
            <w:tcW w:w="88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14:paraId="16EE6E6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74.8%</w:t>
            </w:r>
          </w:p>
        </w:tc>
        <w:tc>
          <w:tcPr>
            <w:tcW w:w="820" w:type="dxa"/>
            <w:tcBorders>
              <w:top w:val="single" w:sz="4" w:space="0" w:color="auto"/>
              <w:left w:val="single" w:sz="4" w:space="0" w:color="auto"/>
              <w:bottom w:val="single" w:sz="4" w:space="0" w:color="auto"/>
              <w:right w:val="single" w:sz="4" w:space="0" w:color="auto"/>
            </w:tcBorders>
            <w:shd w:val="clear" w:color="000000" w:fill="F9ED9B"/>
            <w:noWrap/>
            <w:vAlign w:val="bottom"/>
            <w:hideMark/>
          </w:tcPr>
          <w:p w14:paraId="540E77C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7.7%</w:t>
            </w:r>
          </w:p>
        </w:tc>
      </w:tr>
      <w:tr w:rsidR="004F1CEA" w:rsidRPr="004F1CEA" w14:paraId="11A0C969"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159D342"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Mono City</w:t>
            </w:r>
          </w:p>
        </w:tc>
        <w:tc>
          <w:tcPr>
            <w:tcW w:w="860" w:type="dxa"/>
            <w:tcBorders>
              <w:top w:val="nil"/>
              <w:left w:val="nil"/>
              <w:bottom w:val="single" w:sz="4" w:space="0" w:color="auto"/>
              <w:right w:val="single" w:sz="4" w:space="0" w:color="auto"/>
            </w:tcBorders>
            <w:shd w:val="clear" w:color="auto" w:fill="auto"/>
            <w:noWrap/>
            <w:vAlign w:val="bottom"/>
            <w:hideMark/>
          </w:tcPr>
          <w:p w14:paraId="0E0A40C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172</w:t>
            </w:r>
          </w:p>
        </w:tc>
        <w:tc>
          <w:tcPr>
            <w:tcW w:w="720" w:type="dxa"/>
            <w:tcBorders>
              <w:top w:val="single" w:sz="4" w:space="0" w:color="auto"/>
              <w:left w:val="single" w:sz="4" w:space="0" w:color="auto"/>
              <w:bottom w:val="single" w:sz="4" w:space="0" w:color="auto"/>
              <w:right w:val="single" w:sz="4" w:space="0" w:color="auto"/>
            </w:tcBorders>
            <w:shd w:val="clear" w:color="000000" w:fill="ADD68B"/>
            <w:noWrap/>
            <w:vAlign w:val="bottom"/>
            <w:hideMark/>
          </w:tcPr>
          <w:p w14:paraId="3A63D5C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w:t>
            </w:r>
          </w:p>
        </w:tc>
        <w:tc>
          <w:tcPr>
            <w:tcW w:w="660" w:type="dxa"/>
            <w:tcBorders>
              <w:top w:val="nil"/>
              <w:left w:val="nil"/>
              <w:bottom w:val="single" w:sz="4" w:space="0" w:color="auto"/>
              <w:right w:val="single" w:sz="4" w:space="0" w:color="auto"/>
            </w:tcBorders>
            <w:shd w:val="clear" w:color="auto" w:fill="auto"/>
            <w:noWrap/>
            <w:vAlign w:val="bottom"/>
            <w:hideMark/>
          </w:tcPr>
          <w:p w14:paraId="230E0C9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w:t>
            </w:r>
          </w:p>
        </w:tc>
        <w:tc>
          <w:tcPr>
            <w:tcW w:w="700" w:type="dxa"/>
            <w:tcBorders>
              <w:top w:val="nil"/>
              <w:left w:val="nil"/>
              <w:bottom w:val="single" w:sz="4" w:space="0" w:color="auto"/>
              <w:right w:val="single" w:sz="4" w:space="0" w:color="auto"/>
            </w:tcBorders>
            <w:shd w:val="clear" w:color="auto" w:fill="auto"/>
            <w:noWrap/>
            <w:vAlign w:val="bottom"/>
            <w:hideMark/>
          </w:tcPr>
          <w:p w14:paraId="6D04CA2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131</w:t>
            </w:r>
          </w:p>
        </w:tc>
        <w:tc>
          <w:tcPr>
            <w:tcW w:w="700" w:type="dxa"/>
            <w:tcBorders>
              <w:top w:val="nil"/>
              <w:left w:val="nil"/>
              <w:bottom w:val="single" w:sz="4" w:space="0" w:color="auto"/>
              <w:right w:val="single" w:sz="4" w:space="0" w:color="auto"/>
            </w:tcBorders>
            <w:shd w:val="clear" w:color="auto" w:fill="auto"/>
            <w:noWrap/>
            <w:vAlign w:val="bottom"/>
            <w:hideMark/>
          </w:tcPr>
          <w:p w14:paraId="6BCC0BD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w:t>
            </w:r>
          </w:p>
        </w:tc>
        <w:tc>
          <w:tcPr>
            <w:tcW w:w="880" w:type="dxa"/>
            <w:tcBorders>
              <w:top w:val="single" w:sz="4" w:space="0" w:color="auto"/>
              <w:left w:val="single" w:sz="4" w:space="0" w:color="auto"/>
              <w:bottom w:val="single" w:sz="4" w:space="0" w:color="auto"/>
              <w:right w:val="single" w:sz="4" w:space="0" w:color="auto"/>
            </w:tcBorders>
            <w:shd w:val="clear" w:color="000000" w:fill="ACD58B"/>
            <w:noWrap/>
            <w:vAlign w:val="bottom"/>
            <w:hideMark/>
          </w:tcPr>
          <w:p w14:paraId="0DEF10A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23.8%</w:t>
            </w:r>
          </w:p>
        </w:tc>
        <w:tc>
          <w:tcPr>
            <w:tcW w:w="880" w:type="dxa"/>
            <w:tcBorders>
              <w:top w:val="single" w:sz="4" w:space="0" w:color="auto"/>
              <w:left w:val="single" w:sz="4" w:space="0" w:color="auto"/>
              <w:bottom w:val="single" w:sz="4" w:space="0" w:color="auto"/>
              <w:right w:val="single" w:sz="4" w:space="0" w:color="auto"/>
            </w:tcBorders>
            <w:shd w:val="clear" w:color="000000" w:fill="B7D98D"/>
            <w:noWrap/>
            <w:vAlign w:val="bottom"/>
            <w:hideMark/>
          </w:tcPr>
          <w:p w14:paraId="275E662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76.2%</w:t>
            </w:r>
          </w:p>
        </w:tc>
        <w:tc>
          <w:tcPr>
            <w:tcW w:w="820" w:type="dxa"/>
            <w:tcBorders>
              <w:top w:val="single" w:sz="4" w:space="0" w:color="auto"/>
              <w:left w:val="single" w:sz="4" w:space="0" w:color="auto"/>
              <w:bottom w:val="single" w:sz="4" w:space="0" w:color="auto"/>
              <w:right w:val="single" w:sz="4" w:space="0" w:color="auto"/>
            </w:tcBorders>
            <w:shd w:val="clear" w:color="000000" w:fill="F3EC9A"/>
            <w:noWrap/>
            <w:vAlign w:val="bottom"/>
            <w:hideMark/>
          </w:tcPr>
          <w:p w14:paraId="6B82BD3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8.7%</w:t>
            </w:r>
          </w:p>
        </w:tc>
      </w:tr>
      <w:tr w:rsidR="004F1CEA" w:rsidRPr="004F1CEA" w14:paraId="4040792B"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05B751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Bridgeport</w:t>
            </w:r>
          </w:p>
        </w:tc>
        <w:tc>
          <w:tcPr>
            <w:tcW w:w="860" w:type="dxa"/>
            <w:tcBorders>
              <w:top w:val="nil"/>
              <w:left w:val="nil"/>
              <w:bottom w:val="single" w:sz="4" w:space="0" w:color="auto"/>
              <w:right w:val="single" w:sz="4" w:space="0" w:color="auto"/>
            </w:tcBorders>
            <w:shd w:val="clear" w:color="auto" w:fill="auto"/>
            <w:noWrap/>
            <w:vAlign w:val="bottom"/>
            <w:hideMark/>
          </w:tcPr>
          <w:p w14:paraId="2FA708A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575</w:t>
            </w:r>
          </w:p>
        </w:tc>
        <w:tc>
          <w:tcPr>
            <w:tcW w:w="720" w:type="dxa"/>
            <w:tcBorders>
              <w:top w:val="single" w:sz="4" w:space="0" w:color="auto"/>
              <w:left w:val="single" w:sz="4" w:space="0" w:color="auto"/>
              <w:bottom w:val="single" w:sz="4" w:space="0" w:color="auto"/>
              <w:right w:val="single" w:sz="4" w:space="0" w:color="auto"/>
            </w:tcBorders>
            <w:shd w:val="clear" w:color="000000" w:fill="95CE86"/>
            <w:noWrap/>
            <w:vAlign w:val="bottom"/>
            <w:hideMark/>
          </w:tcPr>
          <w:p w14:paraId="3603FC0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45.5</w:t>
            </w:r>
          </w:p>
        </w:tc>
        <w:tc>
          <w:tcPr>
            <w:tcW w:w="660" w:type="dxa"/>
            <w:tcBorders>
              <w:top w:val="nil"/>
              <w:left w:val="nil"/>
              <w:bottom w:val="single" w:sz="4" w:space="0" w:color="auto"/>
              <w:right w:val="single" w:sz="4" w:space="0" w:color="auto"/>
            </w:tcBorders>
            <w:shd w:val="clear" w:color="auto" w:fill="auto"/>
            <w:noWrap/>
            <w:vAlign w:val="bottom"/>
            <w:hideMark/>
          </w:tcPr>
          <w:p w14:paraId="51E99BE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119</w:t>
            </w:r>
          </w:p>
        </w:tc>
        <w:tc>
          <w:tcPr>
            <w:tcW w:w="700" w:type="dxa"/>
            <w:tcBorders>
              <w:top w:val="nil"/>
              <w:left w:val="nil"/>
              <w:bottom w:val="single" w:sz="4" w:space="0" w:color="auto"/>
              <w:right w:val="single" w:sz="4" w:space="0" w:color="auto"/>
            </w:tcBorders>
            <w:shd w:val="clear" w:color="auto" w:fill="auto"/>
            <w:noWrap/>
            <w:vAlign w:val="bottom"/>
            <w:hideMark/>
          </w:tcPr>
          <w:p w14:paraId="0A0F89B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456</w:t>
            </w:r>
          </w:p>
        </w:tc>
        <w:tc>
          <w:tcPr>
            <w:tcW w:w="700" w:type="dxa"/>
            <w:tcBorders>
              <w:top w:val="nil"/>
              <w:left w:val="nil"/>
              <w:bottom w:val="single" w:sz="4" w:space="0" w:color="auto"/>
              <w:right w:val="single" w:sz="4" w:space="0" w:color="auto"/>
            </w:tcBorders>
            <w:shd w:val="clear" w:color="auto" w:fill="auto"/>
            <w:noWrap/>
            <w:vAlign w:val="bottom"/>
            <w:hideMark/>
          </w:tcPr>
          <w:p w14:paraId="112341A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99</w:t>
            </w:r>
          </w:p>
        </w:tc>
        <w:tc>
          <w:tcPr>
            <w:tcW w:w="880" w:type="dxa"/>
            <w:tcBorders>
              <w:top w:val="single" w:sz="4" w:space="0" w:color="auto"/>
              <w:left w:val="single" w:sz="4" w:space="0" w:color="auto"/>
              <w:bottom w:val="single" w:sz="4" w:space="0" w:color="auto"/>
              <w:right w:val="single" w:sz="4" w:space="0" w:color="auto"/>
            </w:tcBorders>
            <w:shd w:val="clear" w:color="000000" w:fill="C3DC90"/>
            <w:noWrap/>
            <w:vAlign w:val="bottom"/>
            <w:hideMark/>
          </w:tcPr>
          <w:p w14:paraId="109A1CB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20.7%</w:t>
            </w:r>
          </w:p>
        </w:tc>
        <w:tc>
          <w:tcPr>
            <w:tcW w:w="880" w:type="dxa"/>
            <w:tcBorders>
              <w:top w:val="single" w:sz="4" w:space="0" w:color="auto"/>
              <w:left w:val="single" w:sz="4" w:space="0" w:color="auto"/>
              <w:bottom w:val="single" w:sz="4" w:space="0" w:color="auto"/>
              <w:right w:val="single" w:sz="4" w:space="0" w:color="auto"/>
            </w:tcBorders>
            <w:shd w:val="clear" w:color="000000" w:fill="A0D288"/>
            <w:noWrap/>
            <w:vAlign w:val="bottom"/>
            <w:hideMark/>
          </w:tcPr>
          <w:p w14:paraId="034BDCF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79.3%</w:t>
            </w:r>
          </w:p>
        </w:tc>
        <w:tc>
          <w:tcPr>
            <w:tcW w:w="820" w:type="dxa"/>
            <w:tcBorders>
              <w:top w:val="single" w:sz="4" w:space="0" w:color="auto"/>
              <w:left w:val="single" w:sz="4" w:space="0" w:color="auto"/>
              <w:bottom w:val="single" w:sz="4" w:space="0" w:color="auto"/>
              <w:right w:val="single" w:sz="4" w:space="0" w:color="auto"/>
            </w:tcBorders>
            <w:shd w:val="clear" w:color="000000" w:fill="C3DC90"/>
            <w:noWrap/>
            <w:vAlign w:val="bottom"/>
            <w:hideMark/>
          </w:tcPr>
          <w:p w14:paraId="1069A73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17.2%</w:t>
            </w:r>
          </w:p>
        </w:tc>
      </w:tr>
      <w:tr w:rsidR="004F1CEA" w:rsidRPr="004F1CEA" w14:paraId="753BF9E1"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4753A18"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Walker</w:t>
            </w:r>
          </w:p>
        </w:tc>
        <w:tc>
          <w:tcPr>
            <w:tcW w:w="860" w:type="dxa"/>
            <w:tcBorders>
              <w:top w:val="nil"/>
              <w:left w:val="nil"/>
              <w:bottom w:val="single" w:sz="4" w:space="0" w:color="auto"/>
              <w:right w:val="single" w:sz="4" w:space="0" w:color="auto"/>
            </w:tcBorders>
            <w:shd w:val="clear" w:color="auto" w:fill="auto"/>
            <w:noWrap/>
            <w:vAlign w:val="bottom"/>
            <w:hideMark/>
          </w:tcPr>
          <w:p w14:paraId="20426B8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721</w:t>
            </w:r>
          </w:p>
        </w:tc>
        <w:tc>
          <w:tcPr>
            <w:tcW w:w="720" w:type="dxa"/>
            <w:tcBorders>
              <w:top w:val="single" w:sz="4" w:space="0" w:color="auto"/>
              <w:left w:val="single" w:sz="4" w:space="0" w:color="auto"/>
              <w:bottom w:val="single" w:sz="4" w:space="0" w:color="auto"/>
              <w:right w:val="single" w:sz="4" w:space="0" w:color="auto"/>
            </w:tcBorders>
            <w:shd w:val="clear" w:color="000000" w:fill="77C580"/>
            <w:noWrap/>
            <w:vAlign w:val="bottom"/>
            <w:hideMark/>
          </w:tcPr>
          <w:p w14:paraId="2F241ED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51.1</w:t>
            </w:r>
          </w:p>
        </w:tc>
        <w:tc>
          <w:tcPr>
            <w:tcW w:w="660" w:type="dxa"/>
            <w:tcBorders>
              <w:top w:val="nil"/>
              <w:left w:val="nil"/>
              <w:bottom w:val="single" w:sz="4" w:space="0" w:color="auto"/>
              <w:right w:val="single" w:sz="4" w:space="0" w:color="auto"/>
            </w:tcBorders>
            <w:shd w:val="clear" w:color="auto" w:fill="auto"/>
            <w:noWrap/>
            <w:vAlign w:val="bottom"/>
            <w:hideMark/>
          </w:tcPr>
          <w:p w14:paraId="17BF0CA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124</w:t>
            </w:r>
          </w:p>
        </w:tc>
        <w:tc>
          <w:tcPr>
            <w:tcW w:w="700" w:type="dxa"/>
            <w:tcBorders>
              <w:top w:val="nil"/>
              <w:left w:val="nil"/>
              <w:bottom w:val="single" w:sz="4" w:space="0" w:color="auto"/>
              <w:right w:val="single" w:sz="4" w:space="0" w:color="auto"/>
            </w:tcBorders>
            <w:shd w:val="clear" w:color="auto" w:fill="auto"/>
            <w:noWrap/>
            <w:vAlign w:val="bottom"/>
            <w:hideMark/>
          </w:tcPr>
          <w:p w14:paraId="1755E6A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597</w:t>
            </w:r>
          </w:p>
        </w:tc>
        <w:tc>
          <w:tcPr>
            <w:tcW w:w="700" w:type="dxa"/>
            <w:tcBorders>
              <w:top w:val="nil"/>
              <w:left w:val="nil"/>
              <w:bottom w:val="single" w:sz="4" w:space="0" w:color="auto"/>
              <w:right w:val="single" w:sz="4" w:space="0" w:color="auto"/>
            </w:tcBorders>
            <w:shd w:val="clear" w:color="auto" w:fill="auto"/>
            <w:noWrap/>
            <w:vAlign w:val="bottom"/>
            <w:hideMark/>
          </w:tcPr>
          <w:p w14:paraId="557F133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196</w:t>
            </w:r>
          </w:p>
        </w:tc>
        <w:tc>
          <w:tcPr>
            <w:tcW w:w="880"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14:paraId="071066A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17.2%</w:t>
            </w:r>
          </w:p>
        </w:tc>
        <w:tc>
          <w:tcPr>
            <w:tcW w:w="880" w:type="dxa"/>
            <w:tcBorders>
              <w:top w:val="single" w:sz="4" w:space="0" w:color="auto"/>
              <w:left w:val="single" w:sz="4" w:space="0" w:color="auto"/>
              <w:bottom w:val="single" w:sz="4" w:space="0" w:color="auto"/>
              <w:right w:val="single" w:sz="4" w:space="0" w:color="auto"/>
            </w:tcBorders>
            <w:shd w:val="clear" w:color="000000" w:fill="86C983"/>
            <w:noWrap/>
            <w:vAlign w:val="bottom"/>
            <w:hideMark/>
          </w:tcPr>
          <w:p w14:paraId="1B3E76A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82.8%</w:t>
            </w:r>
          </w:p>
        </w:tc>
        <w:tc>
          <w:tcPr>
            <w:tcW w:w="820" w:type="dxa"/>
            <w:tcBorders>
              <w:top w:val="single" w:sz="4" w:space="0" w:color="auto"/>
              <w:left w:val="single" w:sz="4" w:space="0" w:color="auto"/>
              <w:bottom w:val="single" w:sz="4" w:space="0" w:color="auto"/>
              <w:right w:val="single" w:sz="4" w:space="0" w:color="auto"/>
            </w:tcBorders>
            <w:shd w:val="clear" w:color="000000" w:fill="8BCB84"/>
            <w:noWrap/>
            <w:vAlign w:val="bottom"/>
            <w:hideMark/>
          </w:tcPr>
          <w:p w14:paraId="465991D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27.2%</w:t>
            </w:r>
          </w:p>
        </w:tc>
      </w:tr>
      <w:tr w:rsidR="004F1CEA" w:rsidRPr="004F1CEA" w14:paraId="085F2EDA"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8EE2FB7"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Coleville</w:t>
            </w:r>
          </w:p>
        </w:tc>
        <w:tc>
          <w:tcPr>
            <w:tcW w:w="860" w:type="dxa"/>
            <w:tcBorders>
              <w:top w:val="nil"/>
              <w:left w:val="nil"/>
              <w:bottom w:val="single" w:sz="4" w:space="0" w:color="auto"/>
              <w:right w:val="single" w:sz="4" w:space="0" w:color="auto"/>
            </w:tcBorders>
            <w:shd w:val="clear" w:color="auto" w:fill="auto"/>
            <w:noWrap/>
            <w:vAlign w:val="bottom"/>
            <w:hideMark/>
          </w:tcPr>
          <w:p w14:paraId="04A9467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495</w:t>
            </w:r>
          </w:p>
        </w:tc>
        <w:tc>
          <w:tcPr>
            <w:tcW w:w="7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D00110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25.7</w:t>
            </w:r>
          </w:p>
        </w:tc>
        <w:tc>
          <w:tcPr>
            <w:tcW w:w="660" w:type="dxa"/>
            <w:tcBorders>
              <w:top w:val="nil"/>
              <w:left w:val="nil"/>
              <w:bottom w:val="single" w:sz="4" w:space="0" w:color="auto"/>
              <w:right w:val="single" w:sz="4" w:space="0" w:color="auto"/>
            </w:tcBorders>
            <w:shd w:val="clear" w:color="auto" w:fill="auto"/>
            <w:noWrap/>
            <w:vAlign w:val="bottom"/>
            <w:hideMark/>
          </w:tcPr>
          <w:p w14:paraId="369AFBC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167</w:t>
            </w:r>
          </w:p>
        </w:tc>
        <w:tc>
          <w:tcPr>
            <w:tcW w:w="700" w:type="dxa"/>
            <w:tcBorders>
              <w:top w:val="nil"/>
              <w:left w:val="nil"/>
              <w:bottom w:val="single" w:sz="4" w:space="0" w:color="auto"/>
              <w:right w:val="single" w:sz="4" w:space="0" w:color="auto"/>
            </w:tcBorders>
            <w:shd w:val="clear" w:color="auto" w:fill="auto"/>
            <w:noWrap/>
            <w:vAlign w:val="bottom"/>
            <w:hideMark/>
          </w:tcPr>
          <w:p w14:paraId="72BB172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328</w:t>
            </w:r>
          </w:p>
        </w:tc>
        <w:tc>
          <w:tcPr>
            <w:tcW w:w="700" w:type="dxa"/>
            <w:tcBorders>
              <w:top w:val="nil"/>
              <w:left w:val="nil"/>
              <w:bottom w:val="single" w:sz="4" w:space="0" w:color="auto"/>
              <w:right w:val="single" w:sz="4" w:space="0" w:color="auto"/>
            </w:tcBorders>
            <w:shd w:val="clear" w:color="auto" w:fill="auto"/>
            <w:noWrap/>
            <w:vAlign w:val="bottom"/>
            <w:hideMark/>
          </w:tcPr>
          <w:p w14:paraId="0E75178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32</w:t>
            </w:r>
          </w:p>
        </w:tc>
        <w:tc>
          <w:tcPr>
            <w:tcW w:w="8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146B6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33.7%</w:t>
            </w:r>
          </w:p>
        </w:tc>
        <w:tc>
          <w:tcPr>
            <w:tcW w:w="88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3688A8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66.3%</w:t>
            </w:r>
          </w:p>
        </w:tc>
        <w:tc>
          <w:tcPr>
            <w:tcW w:w="8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C976DE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w:t>
            </w:r>
          </w:p>
        </w:tc>
      </w:tr>
      <w:tr w:rsidR="004F1CEA" w:rsidRPr="004F1CEA" w14:paraId="6F650EE3"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6951A1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Topaz</w:t>
            </w:r>
          </w:p>
        </w:tc>
        <w:tc>
          <w:tcPr>
            <w:tcW w:w="860" w:type="dxa"/>
            <w:tcBorders>
              <w:top w:val="nil"/>
              <w:left w:val="nil"/>
              <w:bottom w:val="single" w:sz="4" w:space="0" w:color="auto"/>
              <w:right w:val="single" w:sz="4" w:space="0" w:color="auto"/>
            </w:tcBorders>
            <w:shd w:val="clear" w:color="auto" w:fill="auto"/>
            <w:noWrap/>
            <w:vAlign w:val="bottom"/>
            <w:hideMark/>
          </w:tcPr>
          <w:p w14:paraId="6115D2D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50</w:t>
            </w:r>
          </w:p>
        </w:tc>
        <w:tc>
          <w:tcPr>
            <w:tcW w:w="720" w:type="dxa"/>
            <w:tcBorders>
              <w:top w:val="single" w:sz="4" w:space="0" w:color="auto"/>
              <w:left w:val="single" w:sz="4" w:space="0" w:color="auto"/>
              <w:bottom w:val="single" w:sz="4" w:space="0" w:color="auto"/>
              <w:right w:val="single" w:sz="4" w:space="0" w:color="auto"/>
            </w:tcBorders>
            <w:shd w:val="clear" w:color="000000" w:fill="94CE86"/>
            <w:noWrap/>
            <w:vAlign w:val="bottom"/>
            <w:hideMark/>
          </w:tcPr>
          <w:p w14:paraId="1D468C0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45.7</w:t>
            </w:r>
          </w:p>
        </w:tc>
        <w:tc>
          <w:tcPr>
            <w:tcW w:w="660" w:type="dxa"/>
            <w:tcBorders>
              <w:top w:val="nil"/>
              <w:left w:val="nil"/>
              <w:bottom w:val="single" w:sz="4" w:space="0" w:color="auto"/>
              <w:right w:val="single" w:sz="4" w:space="0" w:color="auto"/>
            </w:tcBorders>
            <w:shd w:val="clear" w:color="auto" w:fill="auto"/>
            <w:noWrap/>
            <w:vAlign w:val="bottom"/>
            <w:hideMark/>
          </w:tcPr>
          <w:p w14:paraId="3677918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w:t>
            </w:r>
          </w:p>
        </w:tc>
        <w:tc>
          <w:tcPr>
            <w:tcW w:w="700" w:type="dxa"/>
            <w:tcBorders>
              <w:top w:val="nil"/>
              <w:left w:val="nil"/>
              <w:bottom w:val="single" w:sz="4" w:space="0" w:color="auto"/>
              <w:right w:val="single" w:sz="4" w:space="0" w:color="auto"/>
            </w:tcBorders>
            <w:shd w:val="clear" w:color="auto" w:fill="auto"/>
            <w:noWrap/>
            <w:vAlign w:val="bottom"/>
            <w:hideMark/>
          </w:tcPr>
          <w:p w14:paraId="2417F5B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39</w:t>
            </w:r>
          </w:p>
        </w:tc>
        <w:tc>
          <w:tcPr>
            <w:tcW w:w="700" w:type="dxa"/>
            <w:tcBorders>
              <w:top w:val="nil"/>
              <w:left w:val="nil"/>
              <w:bottom w:val="single" w:sz="4" w:space="0" w:color="auto"/>
              <w:right w:val="single" w:sz="4" w:space="0" w:color="auto"/>
            </w:tcBorders>
            <w:shd w:val="clear" w:color="auto" w:fill="auto"/>
            <w:noWrap/>
            <w:vAlign w:val="bottom"/>
            <w:hideMark/>
          </w:tcPr>
          <w:p w14:paraId="4639398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w:t>
            </w:r>
          </w:p>
        </w:tc>
        <w:tc>
          <w:tcPr>
            <w:tcW w:w="880" w:type="dxa"/>
            <w:tcBorders>
              <w:top w:val="single" w:sz="4" w:space="0" w:color="auto"/>
              <w:left w:val="single" w:sz="4" w:space="0" w:color="auto"/>
              <w:bottom w:val="single" w:sz="4" w:space="0" w:color="auto"/>
              <w:right w:val="single" w:sz="4" w:space="0" w:color="auto"/>
            </w:tcBorders>
            <w:shd w:val="clear" w:color="000000" w:fill="B9D98E"/>
            <w:noWrap/>
            <w:vAlign w:val="bottom"/>
            <w:hideMark/>
          </w:tcPr>
          <w:p w14:paraId="1C5FD82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22.0%</w:t>
            </w:r>
          </w:p>
        </w:tc>
        <w:tc>
          <w:tcPr>
            <w:tcW w:w="880" w:type="dxa"/>
            <w:tcBorders>
              <w:top w:val="single" w:sz="4" w:space="0" w:color="auto"/>
              <w:left w:val="single" w:sz="4" w:space="0" w:color="auto"/>
              <w:bottom w:val="single" w:sz="4" w:space="0" w:color="auto"/>
              <w:right w:val="single" w:sz="4" w:space="0" w:color="auto"/>
            </w:tcBorders>
            <w:shd w:val="clear" w:color="000000" w:fill="AAD58A"/>
            <w:noWrap/>
            <w:vAlign w:val="bottom"/>
            <w:hideMark/>
          </w:tcPr>
          <w:p w14:paraId="23F495F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78.0%</w:t>
            </w:r>
          </w:p>
        </w:tc>
        <w:tc>
          <w:tcPr>
            <w:tcW w:w="820" w:type="dxa"/>
            <w:tcBorders>
              <w:top w:val="single" w:sz="4" w:space="0" w:color="auto"/>
              <w:left w:val="single" w:sz="4" w:space="0" w:color="auto"/>
              <w:bottom w:val="single" w:sz="4" w:space="0" w:color="auto"/>
              <w:right w:val="single" w:sz="4" w:space="0" w:color="auto"/>
            </w:tcBorders>
            <w:shd w:val="clear" w:color="000000" w:fill="86C983"/>
            <w:noWrap/>
            <w:vAlign w:val="bottom"/>
            <w:hideMark/>
          </w:tcPr>
          <w:p w14:paraId="792A860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28.0%</w:t>
            </w:r>
          </w:p>
        </w:tc>
      </w:tr>
      <w:tr w:rsidR="004F1CEA" w:rsidRPr="004F1CEA" w14:paraId="611CA121" w14:textId="77777777"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14:paraId="12F911F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860" w:type="dxa"/>
            <w:tcBorders>
              <w:top w:val="nil"/>
              <w:left w:val="nil"/>
              <w:bottom w:val="single" w:sz="4" w:space="0" w:color="auto"/>
              <w:right w:val="nil"/>
            </w:tcBorders>
            <w:shd w:val="clear" w:color="auto" w:fill="auto"/>
            <w:noWrap/>
            <w:vAlign w:val="bottom"/>
            <w:hideMark/>
          </w:tcPr>
          <w:p w14:paraId="783372D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68CAA0B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40836B7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0CBE5A7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7DA0935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1440645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0556364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76BE42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325603E2"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25E5D9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of CDPs</w:t>
            </w:r>
          </w:p>
        </w:tc>
        <w:tc>
          <w:tcPr>
            <w:tcW w:w="860" w:type="dxa"/>
            <w:tcBorders>
              <w:top w:val="nil"/>
              <w:left w:val="nil"/>
              <w:bottom w:val="single" w:sz="4" w:space="0" w:color="auto"/>
              <w:right w:val="single" w:sz="4" w:space="0" w:color="auto"/>
            </w:tcBorders>
            <w:shd w:val="clear" w:color="auto" w:fill="auto"/>
            <w:noWrap/>
            <w:vAlign w:val="bottom"/>
            <w:hideMark/>
          </w:tcPr>
          <w:p w14:paraId="1938FAD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5,331</w:t>
            </w:r>
          </w:p>
        </w:tc>
        <w:tc>
          <w:tcPr>
            <w:tcW w:w="720" w:type="dxa"/>
            <w:tcBorders>
              <w:top w:val="nil"/>
              <w:left w:val="nil"/>
              <w:bottom w:val="single" w:sz="4" w:space="0" w:color="auto"/>
              <w:right w:val="single" w:sz="4" w:space="0" w:color="auto"/>
            </w:tcBorders>
            <w:shd w:val="clear" w:color="auto" w:fill="auto"/>
            <w:noWrap/>
            <w:vAlign w:val="bottom"/>
            <w:hideMark/>
          </w:tcPr>
          <w:p w14:paraId="39FCD30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33390FE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1,133</w:t>
            </w:r>
          </w:p>
        </w:tc>
        <w:tc>
          <w:tcPr>
            <w:tcW w:w="700" w:type="dxa"/>
            <w:tcBorders>
              <w:top w:val="nil"/>
              <w:left w:val="nil"/>
              <w:bottom w:val="single" w:sz="4" w:space="0" w:color="auto"/>
              <w:right w:val="single" w:sz="4" w:space="0" w:color="auto"/>
            </w:tcBorders>
            <w:shd w:val="clear" w:color="auto" w:fill="auto"/>
            <w:noWrap/>
            <w:vAlign w:val="bottom"/>
            <w:hideMark/>
          </w:tcPr>
          <w:p w14:paraId="2F2418F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4198</w:t>
            </w:r>
          </w:p>
        </w:tc>
        <w:tc>
          <w:tcPr>
            <w:tcW w:w="700" w:type="dxa"/>
            <w:tcBorders>
              <w:top w:val="nil"/>
              <w:left w:val="nil"/>
              <w:bottom w:val="single" w:sz="4" w:space="0" w:color="auto"/>
              <w:right w:val="single" w:sz="4" w:space="0" w:color="auto"/>
            </w:tcBorders>
            <w:shd w:val="clear" w:color="auto" w:fill="auto"/>
            <w:noWrap/>
            <w:vAlign w:val="bottom"/>
            <w:hideMark/>
          </w:tcPr>
          <w:p w14:paraId="16DF765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750</w:t>
            </w:r>
          </w:p>
        </w:tc>
        <w:tc>
          <w:tcPr>
            <w:tcW w:w="880" w:type="dxa"/>
            <w:tcBorders>
              <w:top w:val="single" w:sz="4" w:space="0" w:color="auto"/>
              <w:left w:val="single" w:sz="4" w:space="0" w:color="auto"/>
              <w:bottom w:val="single" w:sz="4" w:space="0" w:color="auto"/>
              <w:right w:val="single" w:sz="4" w:space="0" w:color="auto"/>
            </w:tcBorders>
            <w:shd w:val="clear" w:color="000000" w:fill="BFDB8F"/>
            <w:noWrap/>
            <w:vAlign w:val="bottom"/>
            <w:hideMark/>
          </w:tcPr>
          <w:p w14:paraId="15CC4FB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21.3%</w:t>
            </w:r>
          </w:p>
        </w:tc>
        <w:tc>
          <w:tcPr>
            <w:tcW w:w="880"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14:paraId="5A1BAE7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78.7%</w:t>
            </w:r>
          </w:p>
        </w:tc>
        <w:tc>
          <w:tcPr>
            <w:tcW w:w="820" w:type="dxa"/>
            <w:tcBorders>
              <w:top w:val="single" w:sz="4" w:space="0" w:color="auto"/>
              <w:left w:val="single" w:sz="4" w:space="0" w:color="auto"/>
              <w:bottom w:val="single" w:sz="4" w:space="0" w:color="auto"/>
              <w:right w:val="single" w:sz="4" w:space="0" w:color="auto"/>
            </w:tcBorders>
            <w:shd w:val="clear" w:color="000000" w:fill="D5E293"/>
            <w:noWrap/>
            <w:vAlign w:val="bottom"/>
            <w:hideMark/>
          </w:tcPr>
          <w:p w14:paraId="730217C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14.1%</w:t>
            </w:r>
          </w:p>
        </w:tc>
      </w:tr>
      <w:tr w:rsidR="004F1CEA" w:rsidRPr="004F1CEA" w14:paraId="7A275101" w14:textId="77777777"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14:paraId="28DFB49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860" w:type="dxa"/>
            <w:tcBorders>
              <w:top w:val="nil"/>
              <w:left w:val="nil"/>
              <w:bottom w:val="single" w:sz="4" w:space="0" w:color="auto"/>
              <w:right w:val="nil"/>
            </w:tcBorders>
            <w:shd w:val="clear" w:color="auto" w:fill="auto"/>
            <w:noWrap/>
            <w:vAlign w:val="bottom"/>
            <w:hideMark/>
          </w:tcPr>
          <w:p w14:paraId="291EF2B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23535B9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4FED46E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5CC7169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5CB9870D"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547ED76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211AC13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1A74492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02164B97"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15B8C8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CDPs + Town</w:t>
            </w:r>
          </w:p>
        </w:tc>
        <w:tc>
          <w:tcPr>
            <w:tcW w:w="860" w:type="dxa"/>
            <w:tcBorders>
              <w:top w:val="nil"/>
              <w:left w:val="nil"/>
              <w:bottom w:val="single" w:sz="4" w:space="0" w:color="auto"/>
              <w:right w:val="single" w:sz="4" w:space="0" w:color="auto"/>
            </w:tcBorders>
            <w:shd w:val="clear" w:color="auto" w:fill="auto"/>
            <w:noWrap/>
            <w:vAlign w:val="bottom"/>
            <w:hideMark/>
          </w:tcPr>
          <w:p w14:paraId="402ABF9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13,565</w:t>
            </w:r>
          </w:p>
        </w:tc>
        <w:tc>
          <w:tcPr>
            <w:tcW w:w="720" w:type="dxa"/>
            <w:tcBorders>
              <w:top w:val="nil"/>
              <w:left w:val="nil"/>
              <w:bottom w:val="single" w:sz="4" w:space="0" w:color="auto"/>
              <w:right w:val="single" w:sz="4" w:space="0" w:color="auto"/>
            </w:tcBorders>
            <w:shd w:val="clear" w:color="auto" w:fill="auto"/>
            <w:noWrap/>
            <w:vAlign w:val="bottom"/>
            <w:hideMark/>
          </w:tcPr>
          <w:p w14:paraId="430474D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1D045C4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2,852</w:t>
            </w:r>
          </w:p>
        </w:tc>
        <w:tc>
          <w:tcPr>
            <w:tcW w:w="700" w:type="dxa"/>
            <w:tcBorders>
              <w:top w:val="nil"/>
              <w:left w:val="nil"/>
              <w:bottom w:val="single" w:sz="4" w:space="0" w:color="auto"/>
              <w:right w:val="single" w:sz="4" w:space="0" w:color="auto"/>
            </w:tcBorders>
            <w:shd w:val="clear" w:color="auto" w:fill="auto"/>
            <w:noWrap/>
            <w:vAlign w:val="bottom"/>
            <w:hideMark/>
          </w:tcPr>
          <w:p w14:paraId="4B545A9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10713</w:t>
            </w:r>
          </w:p>
        </w:tc>
        <w:tc>
          <w:tcPr>
            <w:tcW w:w="700" w:type="dxa"/>
            <w:tcBorders>
              <w:top w:val="nil"/>
              <w:left w:val="nil"/>
              <w:bottom w:val="single" w:sz="4" w:space="0" w:color="auto"/>
              <w:right w:val="single" w:sz="4" w:space="0" w:color="auto"/>
            </w:tcBorders>
            <w:shd w:val="clear" w:color="auto" w:fill="auto"/>
            <w:noWrap/>
            <w:vAlign w:val="bottom"/>
            <w:hideMark/>
          </w:tcPr>
          <w:p w14:paraId="7E24546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1282</w:t>
            </w:r>
          </w:p>
        </w:tc>
        <w:tc>
          <w:tcPr>
            <w:tcW w:w="88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14:paraId="52C6F5C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21.0%</w:t>
            </w:r>
          </w:p>
        </w:tc>
        <w:tc>
          <w:tcPr>
            <w:tcW w:w="88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14:paraId="35D048A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79.0%</w:t>
            </w:r>
          </w:p>
        </w:tc>
        <w:tc>
          <w:tcPr>
            <w:tcW w:w="820" w:type="dxa"/>
            <w:tcBorders>
              <w:top w:val="single" w:sz="4" w:space="0" w:color="auto"/>
              <w:left w:val="single" w:sz="4" w:space="0" w:color="auto"/>
              <w:bottom w:val="single" w:sz="4" w:space="0" w:color="auto"/>
              <w:right w:val="single" w:sz="4" w:space="0" w:color="auto"/>
            </w:tcBorders>
            <w:shd w:val="clear" w:color="000000" w:fill="EFEA99"/>
            <w:noWrap/>
            <w:vAlign w:val="bottom"/>
            <w:hideMark/>
          </w:tcPr>
          <w:p w14:paraId="1281368C"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9.5%</w:t>
            </w:r>
          </w:p>
        </w:tc>
      </w:tr>
      <w:tr w:rsidR="004F1CEA" w:rsidRPr="004F1CEA" w14:paraId="2B192171" w14:textId="77777777" w:rsidTr="004F1CEA">
        <w:trPr>
          <w:trHeight w:val="300"/>
        </w:trPr>
        <w:tc>
          <w:tcPr>
            <w:tcW w:w="3100" w:type="dxa"/>
            <w:tcBorders>
              <w:top w:val="nil"/>
              <w:left w:val="single" w:sz="4" w:space="0" w:color="auto"/>
              <w:bottom w:val="single" w:sz="4" w:space="0" w:color="auto"/>
              <w:right w:val="nil"/>
            </w:tcBorders>
            <w:shd w:val="clear" w:color="auto" w:fill="auto"/>
            <w:noWrap/>
            <w:vAlign w:val="bottom"/>
            <w:hideMark/>
          </w:tcPr>
          <w:p w14:paraId="2C5E9235"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860" w:type="dxa"/>
            <w:tcBorders>
              <w:top w:val="nil"/>
              <w:left w:val="nil"/>
              <w:bottom w:val="single" w:sz="4" w:space="0" w:color="auto"/>
              <w:right w:val="nil"/>
            </w:tcBorders>
            <w:shd w:val="clear" w:color="auto" w:fill="auto"/>
            <w:noWrap/>
            <w:vAlign w:val="bottom"/>
            <w:hideMark/>
          </w:tcPr>
          <w:p w14:paraId="431BD77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1E26DE4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5429498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4EF627F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5469095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5C987F8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80" w:type="dxa"/>
            <w:tcBorders>
              <w:top w:val="nil"/>
              <w:left w:val="nil"/>
              <w:bottom w:val="single" w:sz="4" w:space="0" w:color="auto"/>
              <w:right w:val="nil"/>
            </w:tcBorders>
            <w:shd w:val="clear" w:color="auto" w:fill="auto"/>
            <w:noWrap/>
            <w:vAlign w:val="bottom"/>
            <w:hideMark/>
          </w:tcPr>
          <w:p w14:paraId="616098C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1D31D5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r>
      <w:tr w:rsidR="004F1CEA" w:rsidRPr="004F1CEA" w14:paraId="34305E57" w14:textId="77777777" w:rsidTr="004F1CE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E24C48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County - CDPs &amp; Town</w:t>
            </w:r>
          </w:p>
        </w:tc>
        <w:tc>
          <w:tcPr>
            <w:tcW w:w="860" w:type="dxa"/>
            <w:tcBorders>
              <w:top w:val="nil"/>
              <w:left w:val="nil"/>
              <w:bottom w:val="single" w:sz="4" w:space="0" w:color="auto"/>
              <w:right w:val="single" w:sz="4" w:space="0" w:color="auto"/>
            </w:tcBorders>
            <w:shd w:val="clear" w:color="auto" w:fill="auto"/>
            <w:noWrap/>
            <w:vAlign w:val="bottom"/>
            <w:hideMark/>
          </w:tcPr>
          <w:p w14:paraId="6394CFD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637</w:t>
            </w:r>
          </w:p>
        </w:tc>
        <w:tc>
          <w:tcPr>
            <w:tcW w:w="720" w:type="dxa"/>
            <w:tcBorders>
              <w:top w:val="nil"/>
              <w:left w:val="nil"/>
              <w:bottom w:val="single" w:sz="4" w:space="0" w:color="auto"/>
              <w:right w:val="single" w:sz="4" w:space="0" w:color="auto"/>
            </w:tcBorders>
            <w:shd w:val="clear" w:color="auto" w:fill="auto"/>
            <w:noWrap/>
            <w:vAlign w:val="bottom"/>
            <w:hideMark/>
          </w:tcPr>
          <w:p w14:paraId="5EF5CED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170D956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127</w:t>
            </w:r>
          </w:p>
        </w:tc>
        <w:tc>
          <w:tcPr>
            <w:tcW w:w="700" w:type="dxa"/>
            <w:tcBorders>
              <w:top w:val="nil"/>
              <w:left w:val="nil"/>
              <w:bottom w:val="single" w:sz="4" w:space="0" w:color="auto"/>
              <w:right w:val="single" w:sz="4" w:space="0" w:color="auto"/>
            </w:tcBorders>
            <w:shd w:val="clear" w:color="auto" w:fill="auto"/>
            <w:noWrap/>
            <w:vAlign w:val="bottom"/>
            <w:hideMark/>
          </w:tcPr>
          <w:p w14:paraId="7F297531"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510</w:t>
            </w:r>
          </w:p>
        </w:tc>
        <w:tc>
          <w:tcPr>
            <w:tcW w:w="700" w:type="dxa"/>
            <w:tcBorders>
              <w:top w:val="nil"/>
              <w:left w:val="nil"/>
              <w:bottom w:val="single" w:sz="4" w:space="0" w:color="auto"/>
              <w:right w:val="single" w:sz="4" w:space="0" w:color="auto"/>
            </w:tcBorders>
            <w:shd w:val="clear" w:color="auto" w:fill="auto"/>
            <w:noWrap/>
            <w:vAlign w:val="bottom"/>
            <w:hideMark/>
          </w:tcPr>
          <w:p w14:paraId="7481E4C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95</w:t>
            </w:r>
          </w:p>
        </w:tc>
        <w:tc>
          <w:tcPr>
            <w:tcW w:w="880" w:type="dxa"/>
            <w:tcBorders>
              <w:top w:val="single" w:sz="4" w:space="0" w:color="auto"/>
              <w:left w:val="single" w:sz="4" w:space="0" w:color="auto"/>
              <w:bottom w:val="single" w:sz="4" w:space="0" w:color="auto"/>
              <w:right w:val="single" w:sz="4" w:space="0" w:color="auto"/>
            </w:tcBorders>
            <w:shd w:val="clear" w:color="000000" w:fill="C8DE91"/>
            <w:noWrap/>
            <w:vAlign w:val="bottom"/>
            <w:hideMark/>
          </w:tcPr>
          <w:p w14:paraId="363218B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19.9%</w:t>
            </w:r>
          </w:p>
        </w:tc>
        <w:tc>
          <w:tcPr>
            <w:tcW w:w="880" w:type="dxa"/>
            <w:tcBorders>
              <w:top w:val="single" w:sz="4" w:space="0" w:color="auto"/>
              <w:left w:val="single" w:sz="4" w:space="0" w:color="auto"/>
              <w:bottom w:val="single" w:sz="4" w:space="0" w:color="auto"/>
              <w:right w:val="single" w:sz="4" w:space="0" w:color="auto"/>
            </w:tcBorders>
            <w:shd w:val="clear" w:color="000000" w:fill="9BD087"/>
            <w:noWrap/>
            <w:vAlign w:val="bottom"/>
            <w:hideMark/>
          </w:tcPr>
          <w:p w14:paraId="3AEB9C9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80.1%</w:t>
            </w:r>
          </w:p>
        </w:tc>
        <w:tc>
          <w:tcPr>
            <w:tcW w:w="820" w:type="dxa"/>
            <w:tcBorders>
              <w:top w:val="single" w:sz="4" w:space="0" w:color="auto"/>
              <w:left w:val="single" w:sz="4" w:space="0" w:color="auto"/>
              <w:bottom w:val="single" w:sz="4" w:space="0" w:color="auto"/>
              <w:right w:val="single" w:sz="4" w:space="0" w:color="auto"/>
            </w:tcBorders>
            <w:shd w:val="clear" w:color="000000" w:fill="D0E192"/>
            <w:noWrap/>
            <w:vAlign w:val="bottom"/>
            <w:hideMark/>
          </w:tcPr>
          <w:p w14:paraId="7BE25052"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14.9%</w:t>
            </w:r>
          </w:p>
        </w:tc>
      </w:tr>
    </w:tbl>
    <w:p w14:paraId="3E9FEF85" w14:textId="77777777" w:rsidR="004F1CEA" w:rsidRPr="004F1CEA" w:rsidRDefault="004F1CEA" w:rsidP="004F1CEA">
      <w:pPr>
        <w:spacing w:line="280" w:lineRule="atLeast"/>
        <w:jc w:val="both"/>
      </w:pPr>
      <w:r w:rsidRPr="004F1CEA">
        <w:t>Source: US Census 2010</w:t>
      </w:r>
    </w:p>
    <w:p w14:paraId="18B498D6" w14:textId="77777777" w:rsidR="00682AA1" w:rsidRPr="004F1CEA" w:rsidRDefault="00682AA1" w:rsidP="00682AA1">
      <w:pPr>
        <w:spacing w:line="280" w:lineRule="atLeast"/>
        <w:jc w:val="both"/>
      </w:pPr>
      <w:r w:rsidRPr="004F1CEA">
        <w:t xml:space="preserve">The State Department of Finance is projecting that the population in the County will age over the next twenty years, with the percent of the total County population that is elderly (65 years and over) rising from 14.2 percent in 2010 to 18.2 percent of the total in 2060 (see Table 10).  </w:t>
      </w:r>
    </w:p>
    <w:p w14:paraId="63580336" w14:textId="77777777" w:rsidR="004F1CEA" w:rsidRPr="004F1CEA" w:rsidRDefault="004F1CEA" w:rsidP="004F1CEA">
      <w:pPr>
        <w:spacing w:line="280" w:lineRule="atLeast"/>
      </w:pPr>
      <w:r w:rsidRPr="004F1CEA">
        <w:t>Table 6: Projected Population by Age</w:t>
      </w:r>
    </w:p>
    <w:tbl>
      <w:tblPr>
        <w:tblW w:w="4980" w:type="dxa"/>
        <w:tblLook w:val="04A0" w:firstRow="1" w:lastRow="0" w:firstColumn="1" w:lastColumn="0" w:noHBand="0" w:noVBand="1"/>
      </w:tblPr>
      <w:tblGrid>
        <w:gridCol w:w="2100"/>
        <w:gridCol w:w="960"/>
        <w:gridCol w:w="960"/>
        <w:gridCol w:w="960"/>
      </w:tblGrid>
      <w:tr w:rsidR="004F1CEA" w:rsidRPr="004F1CEA" w14:paraId="67CB6A5D" w14:textId="77777777" w:rsidTr="004F1CEA">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014AB"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6A5CD1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B9FDE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4EDEF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2060</w:t>
            </w:r>
          </w:p>
        </w:tc>
      </w:tr>
      <w:tr w:rsidR="004F1CEA" w:rsidRPr="004F1CEA" w14:paraId="45D49798" w14:textId="77777777"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1BC4F1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Total Population</w:t>
            </w:r>
          </w:p>
        </w:tc>
        <w:tc>
          <w:tcPr>
            <w:tcW w:w="960" w:type="dxa"/>
            <w:tcBorders>
              <w:top w:val="nil"/>
              <w:left w:val="nil"/>
              <w:bottom w:val="single" w:sz="4" w:space="0" w:color="auto"/>
              <w:right w:val="single" w:sz="4" w:space="0" w:color="auto"/>
            </w:tcBorders>
            <w:shd w:val="clear" w:color="auto" w:fill="auto"/>
            <w:noWrap/>
            <w:vAlign w:val="bottom"/>
            <w:hideMark/>
          </w:tcPr>
          <w:p w14:paraId="303244D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14,833</w:t>
            </w:r>
          </w:p>
        </w:tc>
        <w:tc>
          <w:tcPr>
            <w:tcW w:w="960" w:type="dxa"/>
            <w:tcBorders>
              <w:top w:val="nil"/>
              <w:left w:val="nil"/>
              <w:bottom w:val="single" w:sz="4" w:space="0" w:color="auto"/>
              <w:right w:val="single" w:sz="4" w:space="0" w:color="auto"/>
            </w:tcBorders>
            <w:shd w:val="clear" w:color="auto" w:fill="auto"/>
            <w:noWrap/>
            <w:vAlign w:val="bottom"/>
            <w:hideMark/>
          </w:tcPr>
          <w:p w14:paraId="1388147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15,037</w:t>
            </w:r>
          </w:p>
        </w:tc>
        <w:tc>
          <w:tcPr>
            <w:tcW w:w="960" w:type="dxa"/>
            <w:tcBorders>
              <w:top w:val="nil"/>
              <w:left w:val="nil"/>
              <w:bottom w:val="single" w:sz="4" w:space="0" w:color="auto"/>
              <w:right w:val="single" w:sz="4" w:space="0" w:color="auto"/>
            </w:tcBorders>
            <w:shd w:val="clear" w:color="auto" w:fill="auto"/>
            <w:noWrap/>
            <w:vAlign w:val="bottom"/>
            <w:hideMark/>
          </w:tcPr>
          <w:p w14:paraId="6686360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20,755</w:t>
            </w:r>
          </w:p>
        </w:tc>
      </w:tr>
      <w:tr w:rsidR="004F1CEA" w:rsidRPr="004F1CEA" w14:paraId="77376F16" w14:textId="77777777"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7C87A4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Under 5</w:t>
            </w:r>
          </w:p>
        </w:tc>
        <w:tc>
          <w:tcPr>
            <w:tcW w:w="960" w:type="dxa"/>
            <w:tcBorders>
              <w:top w:val="nil"/>
              <w:left w:val="nil"/>
              <w:bottom w:val="single" w:sz="4" w:space="0" w:color="auto"/>
              <w:right w:val="single" w:sz="4" w:space="0" w:color="auto"/>
            </w:tcBorders>
            <w:shd w:val="clear" w:color="auto" w:fill="auto"/>
            <w:noWrap/>
            <w:vAlign w:val="bottom"/>
            <w:hideMark/>
          </w:tcPr>
          <w:p w14:paraId="3107203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879</w:t>
            </w:r>
          </w:p>
        </w:tc>
        <w:tc>
          <w:tcPr>
            <w:tcW w:w="960" w:type="dxa"/>
            <w:tcBorders>
              <w:top w:val="nil"/>
              <w:left w:val="nil"/>
              <w:bottom w:val="single" w:sz="4" w:space="0" w:color="auto"/>
              <w:right w:val="single" w:sz="4" w:space="0" w:color="auto"/>
            </w:tcBorders>
            <w:shd w:val="clear" w:color="auto" w:fill="auto"/>
            <w:noWrap/>
            <w:vAlign w:val="bottom"/>
            <w:hideMark/>
          </w:tcPr>
          <w:p w14:paraId="796C1A4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963</w:t>
            </w:r>
          </w:p>
        </w:tc>
        <w:tc>
          <w:tcPr>
            <w:tcW w:w="960" w:type="dxa"/>
            <w:tcBorders>
              <w:top w:val="nil"/>
              <w:left w:val="nil"/>
              <w:bottom w:val="single" w:sz="4" w:space="0" w:color="auto"/>
              <w:right w:val="single" w:sz="4" w:space="0" w:color="auto"/>
            </w:tcBorders>
            <w:shd w:val="clear" w:color="auto" w:fill="auto"/>
            <w:noWrap/>
            <w:vAlign w:val="bottom"/>
            <w:hideMark/>
          </w:tcPr>
          <w:p w14:paraId="4338DB07"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1,366</w:t>
            </w:r>
          </w:p>
        </w:tc>
      </w:tr>
      <w:tr w:rsidR="004F1CEA" w:rsidRPr="004F1CEA" w14:paraId="658E44FE" w14:textId="77777777"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4AD8D24"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5-17</w:t>
            </w:r>
          </w:p>
        </w:tc>
        <w:tc>
          <w:tcPr>
            <w:tcW w:w="960" w:type="dxa"/>
            <w:tcBorders>
              <w:top w:val="nil"/>
              <w:left w:val="nil"/>
              <w:bottom w:val="single" w:sz="4" w:space="0" w:color="auto"/>
              <w:right w:val="single" w:sz="4" w:space="0" w:color="auto"/>
            </w:tcBorders>
            <w:shd w:val="clear" w:color="auto" w:fill="auto"/>
            <w:noWrap/>
            <w:vAlign w:val="bottom"/>
            <w:hideMark/>
          </w:tcPr>
          <w:p w14:paraId="310C5228"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2,578</w:t>
            </w:r>
          </w:p>
        </w:tc>
        <w:tc>
          <w:tcPr>
            <w:tcW w:w="960" w:type="dxa"/>
            <w:tcBorders>
              <w:top w:val="nil"/>
              <w:left w:val="nil"/>
              <w:bottom w:val="single" w:sz="4" w:space="0" w:color="auto"/>
              <w:right w:val="single" w:sz="4" w:space="0" w:color="auto"/>
            </w:tcBorders>
            <w:shd w:val="clear" w:color="auto" w:fill="auto"/>
            <w:noWrap/>
            <w:vAlign w:val="bottom"/>
            <w:hideMark/>
          </w:tcPr>
          <w:p w14:paraId="40B8853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2,305</w:t>
            </w:r>
          </w:p>
        </w:tc>
        <w:tc>
          <w:tcPr>
            <w:tcW w:w="960" w:type="dxa"/>
            <w:tcBorders>
              <w:top w:val="nil"/>
              <w:left w:val="nil"/>
              <w:bottom w:val="single" w:sz="4" w:space="0" w:color="auto"/>
              <w:right w:val="single" w:sz="4" w:space="0" w:color="auto"/>
            </w:tcBorders>
            <w:shd w:val="clear" w:color="auto" w:fill="auto"/>
            <w:noWrap/>
            <w:vAlign w:val="bottom"/>
            <w:hideMark/>
          </w:tcPr>
          <w:p w14:paraId="01DBBA7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3,497</w:t>
            </w:r>
          </w:p>
        </w:tc>
      </w:tr>
      <w:tr w:rsidR="004F1CEA" w:rsidRPr="004F1CEA" w14:paraId="6F633B5C" w14:textId="77777777"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DF9C096"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18-64</w:t>
            </w:r>
          </w:p>
        </w:tc>
        <w:tc>
          <w:tcPr>
            <w:tcW w:w="960" w:type="dxa"/>
            <w:tcBorders>
              <w:top w:val="nil"/>
              <w:left w:val="nil"/>
              <w:bottom w:val="single" w:sz="4" w:space="0" w:color="auto"/>
              <w:right w:val="single" w:sz="4" w:space="0" w:color="auto"/>
            </w:tcBorders>
            <w:shd w:val="clear" w:color="auto" w:fill="auto"/>
            <w:noWrap/>
            <w:vAlign w:val="bottom"/>
            <w:hideMark/>
          </w:tcPr>
          <w:p w14:paraId="115DEBB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9,643</w:t>
            </w:r>
          </w:p>
        </w:tc>
        <w:tc>
          <w:tcPr>
            <w:tcW w:w="960" w:type="dxa"/>
            <w:tcBorders>
              <w:top w:val="nil"/>
              <w:left w:val="nil"/>
              <w:bottom w:val="single" w:sz="4" w:space="0" w:color="auto"/>
              <w:right w:val="single" w:sz="4" w:space="0" w:color="auto"/>
            </w:tcBorders>
            <w:shd w:val="clear" w:color="auto" w:fill="auto"/>
            <w:noWrap/>
            <w:vAlign w:val="bottom"/>
            <w:hideMark/>
          </w:tcPr>
          <w:p w14:paraId="5B28D8A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9,484</w:t>
            </w:r>
          </w:p>
        </w:tc>
        <w:tc>
          <w:tcPr>
            <w:tcW w:w="960" w:type="dxa"/>
            <w:tcBorders>
              <w:top w:val="nil"/>
              <w:left w:val="nil"/>
              <w:bottom w:val="single" w:sz="4" w:space="0" w:color="auto"/>
              <w:right w:val="single" w:sz="4" w:space="0" w:color="auto"/>
            </w:tcBorders>
            <w:shd w:val="clear" w:color="auto" w:fill="auto"/>
            <w:noWrap/>
            <w:vAlign w:val="bottom"/>
            <w:hideMark/>
          </w:tcPr>
          <w:p w14:paraId="490C13DF"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12,123</w:t>
            </w:r>
          </w:p>
        </w:tc>
      </w:tr>
      <w:tr w:rsidR="004F1CEA" w:rsidRPr="004F1CEA" w14:paraId="06880FAA" w14:textId="77777777"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CE92119"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65 and over</w:t>
            </w:r>
          </w:p>
        </w:tc>
        <w:tc>
          <w:tcPr>
            <w:tcW w:w="960" w:type="dxa"/>
            <w:tcBorders>
              <w:top w:val="nil"/>
              <w:left w:val="nil"/>
              <w:bottom w:val="single" w:sz="4" w:space="0" w:color="auto"/>
              <w:right w:val="single" w:sz="4" w:space="0" w:color="auto"/>
            </w:tcBorders>
            <w:shd w:val="clear" w:color="auto" w:fill="auto"/>
            <w:noWrap/>
            <w:vAlign w:val="bottom"/>
            <w:hideMark/>
          </w:tcPr>
          <w:p w14:paraId="26A78C7B"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1,733</w:t>
            </w:r>
          </w:p>
        </w:tc>
        <w:tc>
          <w:tcPr>
            <w:tcW w:w="960" w:type="dxa"/>
            <w:tcBorders>
              <w:top w:val="nil"/>
              <w:left w:val="nil"/>
              <w:bottom w:val="single" w:sz="4" w:space="0" w:color="auto"/>
              <w:right w:val="single" w:sz="4" w:space="0" w:color="auto"/>
            </w:tcBorders>
            <w:shd w:val="clear" w:color="auto" w:fill="auto"/>
            <w:noWrap/>
            <w:vAlign w:val="bottom"/>
            <w:hideMark/>
          </w:tcPr>
          <w:p w14:paraId="04C520B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2,286</w:t>
            </w:r>
          </w:p>
        </w:tc>
        <w:tc>
          <w:tcPr>
            <w:tcW w:w="960" w:type="dxa"/>
            <w:tcBorders>
              <w:top w:val="nil"/>
              <w:left w:val="nil"/>
              <w:bottom w:val="single" w:sz="4" w:space="0" w:color="auto"/>
              <w:right w:val="single" w:sz="4" w:space="0" w:color="auto"/>
            </w:tcBorders>
            <w:shd w:val="clear" w:color="auto" w:fill="auto"/>
            <w:noWrap/>
            <w:vAlign w:val="bottom"/>
            <w:hideMark/>
          </w:tcPr>
          <w:p w14:paraId="198460F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3,768</w:t>
            </w:r>
          </w:p>
        </w:tc>
      </w:tr>
      <w:tr w:rsidR="004F1CEA" w:rsidRPr="004F1CEA" w14:paraId="59421378" w14:textId="77777777"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CCDA7E1"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Total Population</w:t>
            </w:r>
          </w:p>
        </w:tc>
        <w:tc>
          <w:tcPr>
            <w:tcW w:w="960" w:type="dxa"/>
            <w:tcBorders>
              <w:top w:val="nil"/>
              <w:left w:val="nil"/>
              <w:bottom w:val="single" w:sz="4" w:space="0" w:color="auto"/>
              <w:right w:val="single" w:sz="4" w:space="0" w:color="auto"/>
            </w:tcBorders>
            <w:shd w:val="clear" w:color="auto" w:fill="auto"/>
            <w:noWrap/>
            <w:vAlign w:val="bottom"/>
            <w:hideMark/>
          </w:tcPr>
          <w:p w14:paraId="68AE224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7B65D8D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0D3C317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100.0%</w:t>
            </w:r>
          </w:p>
        </w:tc>
      </w:tr>
      <w:tr w:rsidR="004F1CEA" w:rsidRPr="004F1CEA" w14:paraId="6B9D3046" w14:textId="77777777"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6F1C4C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Under 5</w:t>
            </w:r>
          </w:p>
        </w:tc>
        <w:tc>
          <w:tcPr>
            <w:tcW w:w="960" w:type="dxa"/>
            <w:tcBorders>
              <w:top w:val="nil"/>
              <w:left w:val="nil"/>
              <w:bottom w:val="single" w:sz="4" w:space="0" w:color="auto"/>
              <w:right w:val="single" w:sz="4" w:space="0" w:color="auto"/>
            </w:tcBorders>
            <w:shd w:val="clear" w:color="auto" w:fill="auto"/>
            <w:noWrap/>
            <w:vAlign w:val="bottom"/>
            <w:hideMark/>
          </w:tcPr>
          <w:p w14:paraId="1415D1A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5.9%</w:t>
            </w:r>
          </w:p>
        </w:tc>
        <w:tc>
          <w:tcPr>
            <w:tcW w:w="960" w:type="dxa"/>
            <w:tcBorders>
              <w:top w:val="nil"/>
              <w:left w:val="nil"/>
              <w:bottom w:val="single" w:sz="4" w:space="0" w:color="auto"/>
              <w:right w:val="single" w:sz="4" w:space="0" w:color="auto"/>
            </w:tcBorders>
            <w:shd w:val="clear" w:color="auto" w:fill="auto"/>
            <w:noWrap/>
            <w:vAlign w:val="bottom"/>
            <w:hideMark/>
          </w:tcPr>
          <w:p w14:paraId="24185CE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14:paraId="55B06846"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6.6%</w:t>
            </w:r>
          </w:p>
        </w:tc>
      </w:tr>
      <w:tr w:rsidR="004F1CEA" w:rsidRPr="004F1CEA" w14:paraId="5CA837D9" w14:textId="77777777"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851EE63"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5-17</w:t>
            </w:r>
          </w:p>
        </w:tc>
        <w:tc>
          <w:tcPr>
            <w:tcW w:w="960" w:type="dxa"/>
            <w:tcBorders>
              <w:top w:val="nil"/>
              <w:left w:val="nil"/>
              <w:bottom w:val="single" w:sz="4" w:space="0" w:color="auto"/>
              <w:right w:val="single" w:sz="4" w:space="0" w:color="auto"/>
            </w:tcBorders>
            <w:shd w:val="clear" w:color="auto" w:fill="auto"/>
            <w:noWrap/>
            <w:vAlign w:val="bottom"/>
            <w:hideMark/>
          </w:tcPr>
          <w:p w14:paraId="4A32F04E"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17.4%</w:t>
            </w:r>
          </w:p>
        </w:tc>
        <w:tc>
          <w:tcPr>
            <w:tcW w:w="960" w:type="dxa"/>
            <w:tcBorders>
              <w:top w:val="nil"/>
              <w:left w:val="nil"/>
              <w:bottom w:val="single" w:sz="4" w:space="0" w:color="auto"/>
              <w:right w:val="single" w:sz="4" w:space="0" w:color="auto"/>
            </w:tcBorders>
            <w:shd w:val="clear" w:color="auto" w:fill="auto"/>
            <w:noWrap/>
            <w:vAlign w:val="bottom"/>
            <w:hideMark/>
          </w:tcPr>
          <w:p w14:paraId="1F39BDD9"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15.3%</w:t>
            </w:r>
          </w:p>
        </w:tc>
        <w:tc>
          <w:tcPr>
            <w:tcW w:w="960" w:type="dxa"/>
            <w:tcBorders>
              <w:top w:val="nil"/>
              <w:left w:val="nil"/>
              <w:bottom w:val="single" w:sz="4" w:space="0" w:color="auto"/>
              <w:right w:val="single" w:sz="4" w:space="0" w:color="auto"/>
            </w:tcBorders>
            <w:shd w:val="clear" w:color="auto" w:fill="auto"/>
            <w:noWrap/>
            <w:vAlign w:val="bottom"/>
            <w:hideMark/>
          </w:tcPr>
          <w:p w14:paraId="0534FBB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16.8%</w:t>
            </w:r>
          </w:p>
        </w:tc>
      </w:tr>
      <w:tr w:rsidR="004F1CEA" w:rsidRPr="004F1CEA" w14:paraId="63A06F7A" w14:textId="77777777"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C73606A"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18-64</w:t>
            </w:r>
          </w:p>
        </w:tc>
        <w:tc>
          <w:tcPr>
            <w:tcW w:w="960" w:type="dxa"/>
            <w:tcBorders>
              <w:top w:val="nil"/>
              <w:left w:val="nil"/>
              <w:bottom w:val="single" w:sz="4" w:space="0" w:color="auto"/>
              <w:right w:val="single" w:sz="4" w:space="0" w:color="auto"/>
            </w:tcBorders>
            <w:shd w:val="clear" w:color="auto" w:fill="auto"/>
            <w:noWrap/>
            <w:vAlign w:val="bottom"/>
            <w:hideMark/>
          </w:tcPr>
          <w:p w14:paraId="3146A18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65.0%</w:t>
            </w:r>
          </w:p>
        </w:tc>
        <w:tc>
          <w:tcPr>
            <w:tcW w:w="960" w:type="dxa"/>
            <w:tcBorders>
              <w:top w:val="nil"/>
              <w:left w:val="nil"/>
              <w:bottom w:val="single" w:sz="4" w:space="0" w:color="auto"/>
              <w:right w:val="single" w:sz="4" w:space="0" w:color="auto"/>
            </w:tcBorders>
            <w:shd w:val="clear" w:color="auto" w:fill="auto"/>
            <w:noWrap/>
            <w:vAlign w:val="bottom"/>
            <w:hideMark/>
          </w:tcPr>
          <w:p w14:paraId="7DAF2B14"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63.1%</w:t>
            </w:r>
          </w:p>
        </w:tc>
        <w:tc>
          <w:tcPr>
            <w:tcW w:w="960" w:type="dxa"/>
            <w:tcBorders>
              <w:top w:val="nil"/>
              <w:left w:val="nil"/>
              <w:bottom w:val="single" w:sz="4" w:space="0" w:color="auto"/>
              <w:right w:val="single" w:sz="4" w:space="0" w:color="auto"/>
            </w:tcBorders>
            <w:shd w:val="clear" w:color="auto" w:fill="auto"/>
            <w:noWrap/>
            <w:vAlign w:val="bottom"/>
            <w:hideMark/>
          </w:tcPr>
          <w:p w14:paraId="44148E35"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58.4%</w:t>
            </w:r>
          </w:p>
        </w:tc>
      </w:tr>
      <w:tr w:rsidR="004F1CEA" w:rsidRPr="004F1CEA" w14:paraId="4325A643" w14:textId="77777777" w:rsidTr="004F1CE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CE18E90" w14:textId="77777777" w:rsidR="004F1CEA" w:rsidRPr="004F1CEA" w:rsidRDefault="004F1CEA" w:rsidP="004F1CEA">
            <w:pPr>
              <w:spacing w:after="0" w:line="240" w:lineRule="auto"/>
              <w:rPr>
                <w:rFonts w:eastAsia="Times New Roman" w:cs="Times New Roman"/>
                <w:color w:val="000000"/>
              </w:rPr>
            </w:pPr>
            <w:r w:rsidRPr="004F1CEA">
              <w:rPr>
                <w:rFonts w:eastAsia="Times New Roman" w:cs="Times New Roman"/>
                <w:color w:val="000000"/>
              </w:rPr>
              <w:t>% 65 and over</w:t>
            </w:r>
          </w:p>
        </w:tc>
        <w:tc>
          <w:tcPr>
            <w:tcW w:w="960" w:type="dxa"/>
            <w:tcBorders>
              <w:top w:val="nil"/>
              <w:left w:val="nil"/>
              <w:bottom w:val="single" w:sz="4" w:space="0" w:color="auto"/>
              <w:right w:val="single" w:sz="4" w:space="0" w:color="auto"/>
            </w:tcBorders>
            <w:shd w:val="clear" w:color="auto" w:fill="auto"/>
            <w:noWrap/>
            <w:vAlign w:val="bottom"/>
            <w:hideMark/>
          </w:tcPr>
          <w:p w14:paraId="1426EBBA"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11.7%</w:t>
            </w:r>
          </w:p>
        </w:tc>
        <w:tc>
          <w:tcPr>
            <w:tcW w:w="960" w:type="dxa"/>
            <w:tcBorders>
              <w:top w:val="nil"/>
              <w:left w:val="nil"/>
              <w:bottom w:val="single" w:sz="4" w:space="0" w:color="auto"/>
              <w:right w:val="single" w:sz="4" w:space="0" w:color="auto"/>
            </w:tcBorders>
            <w:shd w:val="clear" w:color="auto" w:fill="auto"/>
            <w:noWrap/>
            <w:vAlign w:val="bottom"/>
            <w:hideMark/>
          </w:tcPr>
          <w:p w14:paraId="342E0800"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15.2%</w:t>
            </w:r>
          </w:p>
        </w:tc>
        <w:tc>
          <w:tcPr>
            <w:tcW w:w="960" w:type="dxa"/>
            <w:tcBorders>
              <w:top w:val="nil"/>
              <w:left w:val="nil"/>
              <w:bottom w:val="single" w:sz="4" w:space="0" w:color="auto"/>
              <w:right w:val="single" w:sz="4" w:space="0" w:color="auto"/>
            </w:tcBorders>
            <w:shd w:val="clear" w:color="auto" w:fill="auto"/>
            <w:noWrap/>
            <w:vAlign w:val="bottom"/>
            <w:hideMark/>
          </w:tcPr>
          <w:p w14:paraId="64F5C223" w14:textId="77777777" w:rsidR="004F1CEA" w:rsidRPr="004F1CEA" w:rsidRDefault="004F1CEA" w:rsidP="004F1CEA">
            <w:pPr>
              <w:spacing w:after="0" w:line="240" w:lineRule="auto"/>
              <w:jc w:val="center"/>
              <w:rPr>
                <w:rFonts w:eastAsia="Times New Roman" w:cs="Times New Roman"/>
                <w:color w:val="000000"/>
              </w:rPr>
            </w:pPr>
            <w:r w:rsidRPr="004F1CEA">
              <w:rPr>
                <w:rFonts w:eastAsia="Times New Roman" w:cs="Times New Roman"/>
                <w:color w:val="000000"/>
              </w:rPr>
              <w:t>18.2%</w:t>
            </w:r>
          </w:p>
        </w:tc>
      </w:tr>
    </w:tbl>
    <w:p w14:paraId="1668213F" w14:textId="77777777" w:rsidR="004F1CEA" w:rsidRPr="004F1CEA" w:rsidRDefault="004F1CEA" w:rsidP="004F1CEA">
      <w:pPr>
        <w:spacing w:line="280" w:lineRule="atLeast"/>
      </w:pPr>
      <w:r w:rsidRPr="004F1CEA">
        <w:t>Source: CA Dept</w:t>
      </w:r>
      <w:r>
        <w:t>.</w:t>
      </w:r>
      <w:r w:rsidRPr="004F1CEA">
        <w:t xml:space="preserve"> of Finance</w:t>
      </w:r>
    </w:p>
    <w:p w14:paraId="33D03D9D" w14:textId="77777777" w:rsidR="00517621" w:rsidRPr="00517621" w:rsidRDefault="002E1FEA" w:rsidP="00EF449A">
      <w:pPr>
        <w:pStyle w:val="Heading3"/>
      </w:pPr>
      <w:bookmarkStart w:id="41" w:name="_Toc383699995"/>
      <w:r>
        <w:t xml:space="preserve">d. </w:t>
      </w:r>
      <w:r w:rsidR="00517621">
        <w:t>HOUSEHOLD CHARACTERISTICS</w:t>
      </w:r>
      <w:bookmarkEnd w:id="41"/>
    </w:p>
    <w:p w14:paraId="56D86DB3" w14:textId="77777777" w:rsidR="00517621" w:rsidRDefault="00517621" w:rsidP="00517621">
      <w:pPr>
        <w:spacing w:after="0" w:line="280" w:lineRule="atLeast"/>
        <w:jc w:val="both"/>
        <w:rPr>
          <w:rFonts w:eastAsia="Times New Roman" w:cs="Times New Roman"/>
        </w:rPr>
      </w:pPr>
    </w:p>
    <w:p w14:paraId="47F558AC" w14:textId="77777777" w:rsidR="00517621" w:rsidRDefault="002E1FEA" w:rsidP="00EF449A">
      <w:pPr>
        <w:pStyle w:val="Heading3"/>
      </w:pPr>
      <w:bookmarkStart w:id="42" w:name="_Toc383699996"/>
      <w:r>
        <w:t xml:space="preserve">e. </w:t>
      </w:r>
      <w:r w:rsidR="00517621">
        <w:t>HOUSEHOLD SIZE</w:t>
      </w:r>
      <w:bookmarkEnd w:id="42"/>
      <w:r w:rsidR="00517621">
        <w:t xml:space="preserve"> </w:t>
      </w:r>
    </w:p>
    <w:p w14:paraId="2A57A6DC" w14:textId="77777777" w:rsidR="00517621" w:rsidRDefault="00517621" w:rsidP="00517621">
      <w:pPr>
        <w:spacing w:after="0" w:line="280" w:lineRule="atLeast"/>
        <w:jc w:val="both"/>
      </w:pPr>
      <w:r w:rsidRPr="00517621">
        <w:t>The 2010 census reports the total number of households in the unincorporated county to be 2,539 Average household countywide decreased slightly from 2.51 in 1990 to 2.42 in 2010 Coleville had the highest average household sizes, with 2.89 persons per household. McGee Creek and Paradise had the lowest average household sizes, with 1.95 persons/household and 2.07 persons per household, respectively (Table 7).</w:t>
      </w:r>
    </w:p>
    <w:p w14:paraId="7FA920BB" w14:textId="77777777" w:rsidR="00517621" w:rsidRDefault="00517621" w:rsidP="00517621">
      <w:pPr>
        <w:spacing w:after="0" w:line="280" w:lineRule="atLeast"/>
        <w:jc w:val="both"/>
      </w:pPr>
    </w:p>
    <w:p w14:paraId="1659ABD5" w14:textId="77777777" w:rsidR="00D666B5" w:rsidRPr="00902009" w:rsidRDefault="00D666B5" w:rsidP="00D666B5">
      <w:pPr>
        <w:spacing w:line="280" w:lineRule="atLeast"/>
        <w:ind w:right="80"/>
        <w:jc w:val="both"/>
      </w:pPr>
      <w:r w:rsidRPr="00902009">
        <w:t>Table 7: Household Characteristics by CDP, 2010</w:t>
      </w:r>
    </w:p>
    <w:tbl>
      <w:tblPr>
        <w:tblW w:w="9940" w:type="dxa"/>
        <w:tblInd w:w="5" w:type="dxa"/>
        <w:tblLook w:val="04A0" w:firstRow="1" w:lastRow="0" w:firstColumn="1" w:lastColumn="0" w:noHBand="0" w:noVBand="1"/>
      </w:tblPr>
      <w:tblGrid>
        <w:gridCol w:w="3460"/>
        <w:gridCol w:w="700"/>
        <w:gridCol w:w="720"/>
        <w:gridCol w:w="700"/>
        <w:gridCol w:w="663"/>
        <w:gridCol w:w="663"/>
        <w:gridCol w:w="660"/>
        <w:gridCol w:w="640"/>
        <w:gridCol w:w="640"/>
        <w:gridCol w:w="560"/>
        <w:gridCol w:w="620"/>
      </w:tblGrid>
      <w:tr w:rsidR="00D666B5" w:rsidRPr="00902009" w14:paraId="5A544B40" w14:textId="77777777" w:rsidTr="00D666B5">
        <w:trPr>
          <w:trHeight w:val="2430"/>
        </w:trPr>
        <w:tc>
          <w:tcPr>
            <w:tcW w:w="3460" w:type="dxa"/>
            <w:tcBorders>
              <w:top w:val="nil"/>
              <w:left w:val="nil"/>
              <w:bottom w:val="nil"/>
              <w:right w:val="nil"/>
            </w:tcBorders>
            <w:shd w:val="clear" w:color="auto" w:fill="auto"/>
            <w:noWrap/>
            <w:vAlign w:val="bottom"/>
            <w:hideMark/>
          </w:tcPr>
          <w:p w14:paraId="0921D4A3" w14:textId="77777777" w:rsidR="00D666B5" w:rsidRPr="00902009" w:rsidRDefault="00D666B5" w:rsidP="00D666B5">
            <w:pPr>
              <w:spacing w:after="0" w:line="240" w:lineRule="auto"/>
              <w:rPr>
                <w:rFonts w:eastAsia="Times New Roman" w:cs="Times New Roman"/>
              </w:rPr>
            </w:pPr>
          </w:p>
        </w:tc>
        <w:tc>
          <w:tcPr>
            <w:tcW w:w="700" w:type="dxa"/>
            <w:tcBorders>
              <w:top w:val="nil"/>
              <w:left w:val="nil"/>
              <w:bottom w:val="nil"/>
              <w:right w:val="nil"/>
            </w:tcBorders>
            <w:shd w:val="clear" w:color="auto" w:fill="auto"/>
            <w:noWrap/>
            <w:textDirection w:val="btLr"/>
            <w:vAlign w:val="bottom"/>
            <w:hideMark/>
          </w:tcPr>
          <w:p w14:paraId="71E724EA"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Average  Household Size</w:t>
            </w:r>
          </w:p>
        </w:tc>
        <w:tc>
          <w:tcPr>
            <w:tcW w:w="720" w:type="dxa"/>
            <w:tcBorders>
              <w:top w:val="nil"/>
              <w:left w:val="nil"/>
              <w:bottom w:val="nil"/>
              <w:right w:val="nil"/>
            </w:tcBorders>
            <w:shd w:val="clear" w:color="auto" w:fill="auto"/>
            <w:noWrap/>
            <w:textDirection w:val="btLr"/>
            <w:vAlign w:val="bottom"/>
            <w:hideMark/>
          </w:tcPr>
          <w:p w14:paraId="4B800B96"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Average Family Size</w:t>
            </w:r>
          </w:p>
        </w:tc>
        <w:tc>
          <w:tcPr>
            <w:tcW w:w="700" w:type="dxa"/>
            <w:tcBorders>
              <w:top w:val="nil"/>
              <w:left w:val="nil"/>
              <w:bottom w:val="nil"/>
              <w:right w:val="nil"/>
            </w:tcBorders>
            <w:shd w:val="clear" w:color="auto" w:fill="auto"/>
            <w:noWrap/>
            <w:textDirection w:val="btLr"/>
            <w:vAlign w:val="bottom"/>
            <w:hideMark/>
          </w:tcPr>
          <w:p w14:paraId="0A494699"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Total Households</w:t>
            </w:r>
          </w:p>
        </w:tc>
        <w:tc>
          <w:tcPr>
            <w:tcW w:w="600" w:type="dxa"/>
            <w:tcBorders>
              <w:top w:val="nil"/>
              <w:left w:val="nil"/>
              <w:bottom w:val="nil"/>
              <w:right w:val="nil"/>
            </w:tcBorders>
            <w:shd w:val="clear" w:color="auto" w:fill="auto"/>
            <w:noWrap/>
            <w:textDirection w:val="btLr"/>
            <w:vAlign w:val="bottom"/>
            <w:hideMark/>
          </w:tcPr>
          <w:p w14:paraId="38260B89"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1</w:t>
            </w:r>
          </w:p>
        </w:tc>
        <w:tc>
          <w:tcPr>
            <w:tcW w:w="640" w:type="dxa"/>
            <w:tcBorders>
              <w:top w:val="nil"/>
              <w:left w:val="nil"/>
              <w:bottom w:val="nil"/>
              <w:right w:val="nil"/>
            </w:tcBorders>
            <w:shd w:val="clear" w:color="auto" w:fill="auto"/>
            <w:noWrap/>
            <w:textDirection w:val="btLr"/>
            <w:vAlign w:val="bottom"/>
            <w:hideMark/>
          </w:tcPr>
          <w:p w14:paraId="26956A34"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2</w:t>
            </w:r>
          </w:p>
        </w:tc>
        <w:tc>
          <w:tcPr>
            <w:tcW w:w="660" w:type="dxa"/>
            <w:tcBorders>
              <w:top w:val="nil"/>
              <w:left w:val="nil"/>
              <w:bottom w:val="nil"/>
              <w:right w:val="nil"/>
            </w:tcBorders>
            <w:shd w:val="clear" w:color="auto" w:fill="auto"/>
            <w:noWrap/>
            <w:textDirection w:val="btLr"/>
            <w:vAlign w:val="bottom"/>
            <w:hideMark/>
          </w:tcPr>
          <w:p w14:paraId="4D1801CA"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3</w:t>
            </w:r>
          </w:p>
        </w:tc>
        <w:tc>
          <w:tcPr>
            <w:tcW w:w="640" w:type="dxa"/>
            <w:tcBorders>
              <w:top w:val="nil"/>
              <w:left w:val="nil"/>
              <w:bottom w:val="nil"/>
              <w:right w:val="nil"/>
            </w:tcBorders>
            <w:shd w:val="clear" w:color="auto" w:fill="auto"/>
            <w:noWrap/>
            <w:textDirection w:val="btLr"/>
            <w:vAlign w:val="bottom"/>
            <w:hideMark/>
          </w:tcPr>
          <w:p w14:paraId="2D09855D"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4</w:t>
            </w:r>
          </w:p>
        </w:tc>
        <w:tc>
          <w:tcPr>
            <w:tcW w:w="640" w:type="dxa"/>
            <w:tcBorders>
              <w:top w:val="nil"/>
              <w:left w:val="nil"/>
              <w:bottom w:val="nil"/>
              <w:right w:val="nil"/>
            </w:tcBorders>
            <w:shd w:val="clear" w:color="auto" w:fill="auto"/>
            <w:noWrap/>
            <w:textDirection w:val="btLr"/>
            <w:vAlign w:val="bottom"/>
            <w:hideMark/>
          </w:tcPr>
          <w:p w14:paraId="614E1899"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5</w:t>
            </w:r>
          </w:p>
        </w:tc>
        <w:tc>
          <w:tcPr>
            <w:tcW w:w="560" w:type="dxa"/>
            <w:tcBorders>
              <w:top w:val="nil"/>
              <w:left w:val="nil"/>
              <w:bottom w:val="nil"/>
              <w:right w:val="nil"/>
            </w:tcBorders>
            <w:shd w:val="clear" w:color="auto" w:fill="auto"/>
            <w:noWrap/>
            <w:textDirection w:val="btLr"/>
            <w:vAlign w:val="bottom"/>
            <w:hideMark/>
          </w:tcPr>
          <w:p w14:paraId="0C12A14B"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6</w:t>
            </w:r>
          </w:p>
        </w:tc>
        <w:tc>
          <w:tcPr>
            <w:tcW w:w="620" w:type="dxa"/>
            <w:tcBorders>
              <w:top w:val="nil"/>
              <w:left w:val="nil"/>
              <w:bottom w:val="nil"/>
              <w:right w:val="nil"/>
            </w:tcBorders>
            <w:shd w:val="clear" w:color="auto" w:fill="auto"/>
            <w:noWrap/>
            <w:textDirection w:val="btLr"/>
            <w:vAlign w:val="bottom"/>
            <w:hideMark/>
          </w:tcPr>
          <w:p w14:paraId="41C26973"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Household Size: 7+</w:t>
            </w:r>
          </w:p>
        </w:tc>
      </w:tr>
      <w:tr w:rsidR="00D666B5" w:rsidRPr="00902009" w14:paraId="081ACD64" w14:textId="77777777" w:rsidTr="00D666B5">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7B45B"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Countywide</w:t>
            </w:r>
          </w:p>
        </w:tc>
        <w:tc>
          <w:tcPr>
            <w:tcW w:w="700" w:type="dxa"/>
            <w:tcBorders>
              <w:top w:val="single" w:sz="4" w:space="0" w:color="auto"/>
              <w:left w:val="single" w:sz="4" w:space="0" w:color="auto"/>
              <w:bottom w:val="single" w:sz="4" w:space="0" w:color="auto"/>
              <w:right w:val="single" w:sz="4" w:space="0" w:color="auto"/>
            </w:tcBorders>
            <w:shd w:val="clear" w:color="000000" w:fill="B2D78C"/>
            <w:noWrap/>
            <w:vAlign w:val="bottom"/>
            <w:hideMark/>
          </w:tcPr>
          <w:p w14:paraId="642F0CA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2.42</w:t>
            </w:r>
          </w:p>
        </w:tc>
        <w:tc>
          <w:tcPr>
            <w:tcW w:w="720" w:type="dxa"/>
            <w:tcBorders>
              <w:top w:val="single" w:sz="4" w:space="0" w:color="auto"/>
              <w:left w:val="single" w:sz="4" w:space="0" w:color="auto"/>
              <w:bottom w:val="single" w:sz="4" w:space="0" w:color="auto"/>
              <w:right w:val="single" w:sz="4" w:space="0" w:color="auto"/>
            </w:tcBorders>
            <w:shd w:val="clear" w:color="000000" w:fill="9ACF87"/>
            <w:noWrap/>
            <w:vAlign w:val="bottom"/>
            <w:hideMark/>
          </w:tcPr>
          <w:p w14:paraId="7C055DC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2.98</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4EB5F7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5768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04BAB08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1592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0913D3F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2182</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58B83E5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835</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2F3B861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657</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1994D47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DA7891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118</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1F43D3A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92</w:t>
            </w:r>
          </w:p>
        </w:tc>
      </w:tr>
      <w:tr w:rsidR="00D666B5" w:rsidRPr="00902009" w14:paraId="01745FB1"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7461926"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273F738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4840397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62E97D3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14:paraId="3276ACC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0DCE644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41E9841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367CEB6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715EA23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14:paraId="5682A1E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14:paraId="6C89E71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10C8AEFA"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887AB17"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Mammoth Lakes</w:t>
            </w:r>
          </w:p>
        </w:tc>
        <w:tc>
          <w:tcPr>
            <w:tcW w:w="700"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14:paraId="37BB8E7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720" w:type="dxa"/>
            <w:tcBorders>
              <w:top w:val="single" w:sz="4" w:space="0" w:color="auto"/>
              <w:left w:val="single" w:sz="4" w:space="0" w:color="auto"/>
              <w:bottom w:val="single" w:sz="4" w:space="0" w:color="auto"/>
              <w:right w:val="single" w:sz="4" w:space="0" w:color="auto"/>
            </w:tcBorders>
            <w:shd w:val="clear" w:color="000000" w:fill="79C580"/>
            <w:noWrap/>
            <w:vAlign w:val="bottom"/>
            <w:hideMark/>
          </w:tcPr>
          <w:p w14:paraId="31561D6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3.14</w:t>
            </w:r>
          </w:p>
        </w:tc>
        <w:tc>
          <w:tcPr>
            <w:tcW w:w="700" w:type="dxa"/>
            <w:tcBorders>
              <w:top w:val="nil"/>
              <w:left w:val="nil"/>
              <w:bottom w:val="single" w:sz="4" w:space="0" w:color="auto"/>
              <w:right w:val="single" w:sz="4" w:space="0" w:color="auto"/>
            </w:tcBorders>
            <w:shd w:val="clear" w:color="auto" w:fill="auto"/>
            <w:noWrap/>
            <w:vAlign w:val="bottom"/>
            <w:hideMark/>
          </w:tcPr>
          <w:p w14:paraId="4FB23FD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3229</w:t>
            </w:r>
          </w:p>
        </w:tc>
        <w:tc>
          <w:tcPr>
            <w:tcW w:w="600" w:type="dxa"/>
            <w:tcBorders>
              <w:top w:val="nil"/>
              <w:left w:val="nil"/>
              <w:bottom w:val="single" w:sz="4" w:space="0" w:color="auto"/>
              <w:right w:val="single" w:sz="4" w:space="0" w:color="auto"/>
            </w:tcBorders>
            <w:shd w:val="clear" w:color="auto" w:fill="auto"/>
            <w:noWrap/>
            <w:vAlign w:val="bottom"/>
            <w:hideMark/>
          </w:tcPr>
          <w:p w14:paraId="04483C5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899</w:t>
            </w:r>
          </w:p>
        </w:tc>
        <w:tc>
          <w:tcPr>
            <w:tcW w:w="640" w:type="dxa"/>
            <w:tcBorders>
              <w:top w:val="nil"/>
              <w:left w:val="nil"/>
              <w:bottom w:val="single" w:sz="4" w:space="0" w:color="auto"/>
              <w:right w:val="single" w:sz="4" w:space="0" w:color="auto"/>
            </w:tcBorders>
            <w:shd w:val="clear" w:color="auto" w:fill="auto"/>
            <w:noWrap/>
            <w:vAlign w:val="bottom"/>
            <w:hideMark/>
          </w:tcPr>
          <w:p w14:paraId="62401E5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1145</w:t>
            </w:r>
          </w:p>
        </w:tc>
        <w:tc>
          <w:tcPr>
            <w:tcW w:w="660" w:type="dxa"/>
            <w:tcBorders>
              <w:top w:val="nil"/>
              <w:left w:val="nil"/>
              <w:bottom w:val="single" w:sz="4" w:space="0" w:color="auto"/>
              <w:right w:val="single" w:sz="4" w:space="0" w:color="auto"/>
            </w:tcBorders>
            <w:shd w:val="clear" w:color="auto" w:fill="auto"/>
            <w:noWrap/>
            <w:vAlign w:val="bottom"/>
            <w:hideMark/>
          </w:tcPr>
          <w:p w14:paraId="50D8BAA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464</w:t>
            </w:r>
          </w:p>
        </w:tc>
        <w:tc>
          <w:tcPr>
            <w:tcW w:w="640" w:type="dxa"/>
            <w:tcBorders>
              <w:top w:val="nil"/>
              <w:left w:val="nil"/>
              <w:bottom w:val="single" w:sz="4" w:space="0" w:color="auto"/>
              <w:right w:val="single" w:sz="4" w:space="0" w:color="auto"/>
            </w:tcBorders>
            <w:shd w:val="clear" w:color="auto" w:fill="auto"/>
            <w:noWrap/>
            <w:vAlign w:val="bottom"/>
            <w:hideMark/>
          </w:tcPr>
          <w:p w14:paraId="257EA59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392</w:t>
            </w:r>
          </w:p>
        </w:tc>
        <w:tc>
          <w:tcPr>
            <w:tcW w:w="640" w:type="dxa"/>
            <w:tcBorders>
              <w:top w:val="nil"/>
              <w:left w:val="nil"/>
              <w:bottom w:val="single" w:sz="4" w:space="0" w:color="auto"/>
              <w:right w:val="single" w:sz="4" w:space="0" w:color="auto"/>
            </w:tcBorders>
            <w:shd w:val="clear" w:color="auto" w:fill="auto"/>
            <w:noWrap/>
            <w:vAlign w:val="bottom"/>
            <w:hideMark/>
          </w:tcPr>
          <w:p w14:paraId="06A264E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180</w:t>
            </w:r>
          </w:p>
        </w:tc>
        <w:tc>
          <w:tcPr>
            <w:tcW w:w="560" w:type="dxa"/>
            <w:tcBorders>
              <w:top w:val="nil"/>
              <w:left w:val="nil"/>
              <w:bottom w:val="single" w:sz="4" w:space="0" w:color="auto"/>
              <w:right w:val="single" w:sz="4" w:space="0" w:color="auto"/>
            </w:tcBorders>
            <w:shd w:val="clear" w:color="auto" w:fill="auto"/>
            <w:noWrap/>
            <w:vAlign w:val="bottom"/>
            <w:hideMark/>
          </w:tcPr>
          <w:p w14:paraId="1F0682E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80</w:t>
            </w:r>
          </w:p>
        </w:tc>
        <w:tc>
          <w:tcPr>
            <w:tcW w:w="620" w:type="dxa"/>
            <w:tcBorders>
              <w:top w:val="nil"/>
              <w:left w:val="nil"/>
              <w:bottom w:val="single" w:sz="4" w:space="0" w:color="auto"/>
              <w:right w:val="single" w:sz="4" w:space="0" w:color="auto"/>
            </w:tcBorders>
            <w:shd w:val="clear" w:color="auto" w:fill="auto"/>
            <w:noWrap/>
            <w:vAlign w:val="bottom"/>
            <w:hideMark/>
          </w:tcPr>
          <w:p w14:paraId="57D7E71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69</w:t>
            </w:r>
          </w:p>
        </w:tc>
      </w:tr>
      <w:tr w:rsidR="00D666B5" w:rsidRPr="00902009" w14:paraId="31BF7B81"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DED75F2"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19D2CFE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477ECF0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66D8E78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14:paraId="2A380C4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433BC38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66C8F3A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4639015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13F49FF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14:paraId="2AA8FC1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14:paraId="2FDC4E9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38361397"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9F1C162"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Countywide -Town</w:t>
            </w:r>
          </w:p>
        </w:tc>
        <w:tc>
          <w:tcPr>
            <w:tcW w:w="700" w:type="dxa"/>
            <w:tcBorders>
              <w:top w:val="nil"/>
              <w:left w:val="nil"/>
              <w:bottom w:val="single" w:sz="4" w:space="0" w:color="auto"/>
              <w:right w:val="single" w:sz="4" w:space="0" w:color="auto"/>
            </w:tcBorders>
            <w:shd w:val="clear" w:color="auto" w:fill="auto"/>
            <w:noWrap/>
            <w:vAlign w:val="bottom"/>
            <w:hideMark/>
          </w:tcPr>
          <w:p w14:paraId="6A9484F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EBD288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19C8C37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2539</w:t>
            </w:r>
          </w:p>
        </w:tc>
        <w:tc>
          <w:tcPr>
            <w:tcW w:w="600" w:type="dxa"/>
            <w:tcBorders>
              <w:top w:val="nil"/>
              <w:left w:val="nil"/>
              <w:bottom w:val="single" w:sz="4" w:space="0" w:color="auto"/>
              <w:right w:val="single" w:sz="4" w:space="0" w:color="auto"/>
            </w:tcBorders>
            <w:shd w:val="clear" w:color="auto" w:fill="auto"/>
            <w:noWrap/>
            <w:vAlign w:val="bottom"/>
            <w:hideMark/>
          </w:tcPr>
          <w:p w14:paraId="45FFB92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693</w:t>
            </w:r>
          </w:p>
        </w:tc>
        <w:tc>
          <w:tcPr>
            <w:tcW w:w="640" w:type="dxa"/>
            <w:tcBorders>
              <w:top w:val="nil"/>
              <w:left w:val="nil"/>
              <w:bottom w:val="single" w:sz="4" w:space="0" w:color="auto"/>
              <w:right w:val="single" w:sz="4" w:space="0" w:color="auto"/>
            </w:tcBorders>
            <w:shd w:val="clear" w:color="auto" w:fill="auto"/>
            <w:noWrap/>
            <w:vAlign w:val="bottom"/>
            <w:hideMark/>
          </w:tcPr>
          <w:p w14:paraId="7E6F9A0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1037</w:t>
            </w:r>
          </w:p>
        </w:tc>
        <w:tc>
          <w:tcPr>
            <w:tcW w:w="660" w:type="dxa"/>
            <w:tcBorders>
              <w:top w:val="nil"/>
              <w:left w:val="nil"/>
              <w:bottom w:val="single" w:sz="4" w:space="0" w:color="auto"/>
              <w:right w:val="single" w:sz="4" w:space="0" w:color="auto"/>
            </w:tcBorders>
            <w:shd w:val="clear" w:color="auto" w:fill="auto"/>
            <w:noWrap/>
            <w:vAlign w:val="bottom"/>
            <w:hideMark/>
          </w:tcPr>
          <w:p w14:paraId="1A74347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371</w:t>
            </w:r>
          </w:p>
        </w:tc>
        <w:tc>
          <w:tcPr>
            <w:tcW w:w="640" w:type="dxa"/>
            <w:tcBorders>
              <w:top w:val="nil"/>
              <w:left w:val="nil"/>
              <w:bottom w:val="single" w:sz="4" w:space="0" w:color="auto"/>
              <w:right w:val="single" w:sz="4" w:space="0" w:color="auto"/>
            </w:tcBorders>
            <w:shd w:val="clear" w:color="auto" w:fill="auto"/>
            <w:noWrap/>
            <w:vAlign w:val="bottom"/>
            <w:hideMark/>
          </w:tcPr>
          <w:p w14:paraId="770C944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265</w:t>
            </w:r>
          </w:p>
        </w:tc>
        <w:tc>
          <w:tcPr>
            <w:tcW w:w="640" w:type="dxa"/>
            <w:tcBorders>
              <w:top w:val="nil"/>
              <w:left w:val="nil"/>
              <w:bottom w:val="single" w:sz="4" w:space="0" w:color="auto"/>
              <w:right w:val="single" w:sz="4" w:space="0" w:color="auto"/>
            </w:tcBorders>
            <w:shd w:val="clear" w:color="auto" w:fill="auto"/>
            <w:noWrap/>
            <w:vAlign w:val="bottom"/>
            <w:hideMark/>
          </w:tcPr>
          <w:p w14:paraId="38A2A2E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112</w:t>
            </w:r>
          </w:p>
        </w:tc>
        <w:tc>
          <w:tcPr>
            <w:tcW w:w="560" w:type="dxa"/>
            <w:tcBorders>
              <w:top w:val="nil"/>
              <w:left w:val="nil"/>
              <w:bottom w:val="single" w:sz="4" w:space="0" w:color="auto"/>
              <w:right w:val="single" w:sz="4" w:space="0" w:color="auto"/>
            </w:tcBorders>
            <w:shd w:val="clear" w:color="auto" w:fill="auto"/>
            <w:noWrap/>
            <w:vAlign w:val="bottom"/>
            <w:hideMark/>
          </w:tcPr>
          <w:p w14:paraId="5250F3E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38</w:t>
            </w:r>
          </w:p>
        </w:tc>
        <w:tc>
          <w:tcPr>
            <w:tcW w:w="620" w:type="dxa"/>
            <w:tcBorders>
              <w:top w:val="nil"/>
              <w:left w:val="nil"/>
              <w:bottom w:val="single" w:sz="4" w:space="0" w:color="auto"/>
              <w:right w:val="single" w:sz="4" w:space="0" w:color="auto"/>
            </w:tcBorders>
            <w:shd w:val="clear" w:color="auto" w:fill="auto"/>
            <w:noWrap/>
            <w:vAlign w:val="bottom"/>
            <w:hideMark/>
          </w:tcPr>
          <w:p w14:paraId="06A9B94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w:t>
            </w:r>
          </w:p>
        </w:tc>
      </w:tr>
      <w:tr w:rsidR="00D666B5" w:rsidRPr="00902009" w14:paraId="374AF161"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D9A5B2E"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nil"/>
              <w:right w:val="nil"/>
            </w:tcBorders>
            <w:shd w:val="clear" w:color="auto" w:fill="auto"/>
            <w:noWrap/>
            <w:vAlign w:val="bottom"/>
            <w:hideMark/>
          </w:tcPr>
          <w:p w14:paraId="75A8A69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nil"/>
              <w:right w:val="nil"/>
            </w:tcBorders>
            <w:shd w:val="clear" w:color="auto" w:fill="auto"/>
            <w:noWrap/>
            <w:vAlign w:val="bottom"/>
            <w:hideMark/>
          </w:tcPr>
          <w:p w14:paraId="620BAF2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nil"/>
              <w:right w:val="nil"/>
            </w:tcBorders>
            <w:shd w:val="clear" w:color="auto" w:fill="auto"/>
            <w:noWrap/>
            <w:vAlign w:val="bottom"/>
            <w:hideMark/>
          </w:tcPr>
          <w:p w14:paraId="754AF29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nil"/>
              <w:right w:val="nil"/>
            </w:tcBorders>
            <w:shd w:val="clear" w:color="auto" w:fill="auto"/>
            <w:noWrap/>
            <w:vAlign w:val="bottom"/>
            <w:hideMark/>
          </w:tcPr>
          <w:p w14:paraId="57493DA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nil"/>
              <w:right w:val="nil"/>
            </w:tcBorders>
            <w:shd w:val="clear" w:color="auto" w:fill="auto"/>
            <w:noWrap/>
            <w:vAlign w:val="bottom"/>
            <w:hideMark/>
          </w:tcPr>
          <w:p w14:paraId="2FCF35D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nil"/>
              <w:right w:val="nil"/>
            </w:tcBorders>
            <w:shd w:val="clear" w:color="auto" w:fill="auto"/>
            <w:noWrap/>
            <w:vAlign w:val="bottom"/>
            <w:hideMark/>
          </w:tcPr>
          <w:p w14:paraId="3B52455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nil"/>
              <w:right w:val="nil"/>
            </w:tcBorders>
            <w:shd w:val="clear" w:color="auto" w:fill="auto"/>
            <w:noWrap/>
            <w:vAlign w:val="bottom"/>
            <w:hideMark/>
          </w:tcPr>
          <w:p w14:paraId="5E3ADD3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nil"/>
              <w:right w:val="nil"/>
            </w:tcBorders>
            <w:shd w:val="clear" w:color="auto" w:fill="auto"/>
            <w:noWrap/>
            <w:vAlign w:val="bottom"/>
            <w:hideMark/>
          </w:tcPr>
          <w:p w14:paraId="1345732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nil"/>
              <w:right w:val="nil"/>
            </w:tcBorders>
            <w:shd w:val="clear" w:color="auto" w:fill="auto"/>
            <w:noWrap/>
            <w:vAlign w:val="bottom"/>
            <w:hideMark/>
          </w:tcPr>
          <w:p w14:paraId="6A606A4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nil"/>
              <w:right w:val="nil"/>
            </w:tcBorders>
            <w:shd w:val="clear" w:color="auto" w:fill="auto"/>
            <w:noWrap/>
            <w:vAlign w:val="bottom"/>
            <w:hideMark/>
          </w:tcPr>
          <w:p w14:paraId="0FD9F2F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20F5BF12"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11AF58C"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Mono County CDPs</w:t>
            </w:r>
          </w:p>
        </w:tc>
        <w:tc>
          <w:tcPr>
            <w:tcW w:w="700" w:type="dxa"/>
            <w:tcBorders>
              <w:top w:val="nil"/>
              <w:left w:val="nil"/>
              <w:bottom w:val="single" w:sz="4" w:space="0" w:color="auto"/>
              <w:right w:val="nil"/>
            </w:tcBorders>
            <w:shd w:val="clear" w:color="auto" w:fill="auto"/>
            <w:noWrap/>
            <w:vAlign w:val="bottom"/>
            <w:hideMark/>
          </w:tcPr>
          <w:p w14:paraId="124AD78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5C3A029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38826AC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14:paraId="7E47C4F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225BFBB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3DD3858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76B73A4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6E44922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14:paraId="57A70D6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14:paraId="3EBAD7C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4C8AB05E"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EAFE916"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Chalfant</w:t>
            </w:r>
          </w:p>
        </w:tc>
        <w:tc>
          <w:tcPr>
            <w:tcW w:w="700" w:type="dxa"/>
            <w:tcBorders>
              <w:top w:val="single" w:sz="4" w:space="0" w:color="auto"/>
              <w:left w:val="single" w:sz="4" w:space="0" w:color="auto"/>
              <w:bottom w:val="single" w:sz="4" w:space="0" w:color="auto"/>
              <w:right w:val="single" w:sz="4" w:space="0" w:color="auto"/>
            </w:tcBorders>
            <w:shd w:val="clear" w:color="000000" w:fill="A9D48A"/>
            <w:noWrap/>
            <w:vAlign w:val="bottom"/>
            <w:hideMark/>
          </w:tcPr>
          <w:p w14:paraId="0D8DB8C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2.47</w:t>
            </w:r>
          </w:p>
        </w:tc>
        <w:tc>
          <w:tcPr>
            <w:tcW w:w="720" w:type="dxa"/>
            <w:tcBorders>
              <w:top w:val="single" w:sz="4" w:space="0" w:color="auto"/>
              <w:left w:val="single" w:sz="4" w:space="0" w:color="auto"/>
              <w:bottom w:val="single" w:sz="4" w:space="0" w:color="auto"/>
              <w:right w:val="single" w:sz="4" w:space="0" w:color="auto"/>
            </w:tcBorders>
            <w:shd w:val="clear" w:color="000000" w:fill="AFD68C"/>
            <w:noWrap/>
            <w:vAlign w:val="bottom"/>
            <w:hideMark/>
          </w:tcPr>
          <w:p w14:paraId="10F65E3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2.87</w:t>
            </w:r>
          </w:p>
        </w:tc>
        <w:tc>
          <w:tcPr>
            <w:tcW w:w="700" w:type="dxa"/>
            <w:tcBorders>
              <w:top w:val="nil"/>
              <w:left w:val="nil"/>
              <w:bottom w:val="single" w:sz="4" w:space="0" w:color="auto"/>
              <w:right w:val="single" w:sz="4" w:space="0" w:color="auto"/>
            </w:tcBorders>
            <w:shd w:val="clear" w:color="auto" w:fill="auto"/>
            <w:noWrap/>
            <w:vAlign w:val="bottom"/>
            <w:hideMark/>
          </w:tcPr>
          <w:p w14:paraId="56895F7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264</w:t>
            </w:r>
          </w:p>
        </w:tc>
        <w:tc>
          <w:tcPr>
            <w:tcW w:w="600" w:type="dxa"/>
            <w:tcBorders>
              <w:top w:val="nil"/>
              <w:left w:val="nil"/>
              <w:bottom w:val="single" w:sz="4" w:space="0" w:color="auto"/>
              <w:right w:val="single" w:sz="4" w:space="0" w:color="auto"/>
            </w:tcBorders>
            <w:shd w:val="clear" w:color="auto" w:fill="auto"/>
            <w:noWrap/>
            <w:vAlign w:val="bottom"/>
            <w:hideMark/>
          </w:tcPr>
          <w:p w14:paraId="6F2018E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53</w:t>
            </w:r>
          </w:p>
        </w:tc>
        <w:tc>
          <w:tcPr>
            <w:tcW w:w="640" w:type="dxa"/>
            <w:tcBorders>
              <w:top w:val="nil"/>
              <w:left w:val="nil"/>
              <w:bottom w:val="single" w:sz="4" w:space="0" w:color="auto"/>
              <w:right w:val="single" w:sz="4" w:space="0" w:color="auto"/>
            </w:tcBorders>
            <w:shd w:val="clear" w:color="auto" w:fill="auto"/>
            <w:noWrap/>
            <w:vAlign w:val="bottom"/>
            <w:hideMark/>
          </w:tcPr>
          <w:p w14:paraId="3D67D9A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118</w:t>
            </w:r>
          </w:p>
        </w:tc>
        <w:tc>
          <w:tcPr>
            <w:tcW w:w="660" w:type="dxa"/>
            <w:tcBorders>
              <w:top w:val="nil"/>
              <w:left w:val="nil"/>
              <w:bottom w:val="single" w:sz="4" w:space="0" w:color="auto"/>
              <w:right w:val="single" w:sz="4" w:space="0" w:color="auto"/>
            </w:tcBorders>
            <w:shd w:val="clear" w:color="auto" w:fill="auto"/>
            <w:noWrap/>
            <w:vAlign w:val="bottom"/>
            <w:hideMark/>
          </w:tcPr>
          <w:p w14:paraId="54162BE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43</w:t>
            </w:r>
          </w:p>
        </w:tc>
        <w:tc>
          <w:tcPr>
            <w:tcW w:w="640" w:type="dxa"/>
            <w:tcBorders>
              <w:top w:val="nil"/>
              <w:left w:val="nil"/>
              <w:bottom w:val="single" w:sz="4" w:space="0" w:color="auto"/>
              <w:right w:val="single" w:sz="4" w:space="0" w:color="auto"/>
            </w:tcBorders>
            <w:shd w:val="clear" w:color="auto" w:fill="auto"/>
            <w:noWrap/>
            <w:vAlign w:val="bottom"/>
            <w:hideMark/>
          </w:tcPr>
          <w:p w14:paraId="719EC19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w:t>
            </w:r>
          </w:p>
        </w:tc>
        <w:tc>
          <w:tcPr>
            <w:tcW w:w="640" w:type="dxa"/>
            <w:tcBorders>
              <w:top w:val="nil"/>
              <w:left w:val="nil"/>
              <w:bottom w:val="single" w:sz="4" w:space="0" w:color="auto"/>
              <w:right w:val="single" w:sz="4" w:space="0" w:color="auto"/>
            </w:tcBorders>
            <w:shd w:val="clear" w:color="auto" w:fill="auto"/>
            <w:noWrap/>
            <w:vAlign w:val="bottom"/>
            <w:hideMark/>
          </w:tcPr>
          <w:p w14:paraId="7274953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14</w:t>
            </w:r>
          </w:p>
        </w:tc>
        <w:tc>
          <w:tcPr>
            <w:tcW w:w="560" w:type="dxa"/>
            <w:tcBorders>
              <w:top w:val="nil"/>
              <w:left w:val="nil"/>
              <w:bottom w:val="single" w:sz="4" w:space="0" w:color="auto"/>
              <w:right w:val="single" w:sz="4" w:space="0" w:color="auto"/>
            </w:tcBorders>
            <w:shd w:val="clear" w:color="auto" w:fill="auto"/>
            <w:noWrap/>
            <w:vAlign w:val="bottom"/>
            <w:hideMark/>
          </w:tcPr>
          <w:p w14:paraId="7D8C579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0C08E6C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r>
      <w:tr w:rsidR="00D666B5" w:rsidRPr="00902009" w14:paraId="18E36981"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F9CEFF2"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Benton</w:t>
            </w:r>
          </w:p>
        </w:tc>
        <w:tc>
          <w:tcPr>
            <w:tcW w:w="700" w:type="dxa"/>
            <w:tcBorders>
              <w:top w:val="single" w:sz="4" w:space="0" w:color="auto"/>
              <w:left w:val="single" w:sz="4" w:space="0" w:color="auto"/>
              <w:bottom w:val="single" w:sz="4" w:space="0" w:color="auto"/>
              <w:right w:val="single" w:sz="4" w:space="0" w:color="auto"/>
            </w:tcBorders>
            <w:shd w:val="clear" w:color="000000" w:fill="C5DD90"/>
            <w:noWrap/>
            <w:vAlign w:val="bottom"/>
            <w:hideMark/>
          </w:tcPr>
          <w:p w14:paraId="42AE030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w:t>
            </w:r>
          </w:p>
        </w:tc>
        <w:tc>
          <w:tcPr>
            <w:tcW w:w="720" w:type="dxa"/>
            <w:tcBorders>
              <w:top w:val="single" w:sz="4" w:space="0" w:color="auto"/>
              <w:left w:val="single" w:sz="4" w:space="0" w:color="auto"/>
              <w:bottom w:val="single" w:sz="4" w:space="0" w:color="auto"/>
              <w:right w:val="single" w:sz="4" w:space="0" w:color="auto"/>
            </w:tcBorders>
            <w:shd w:val="clear" w:color="000000" w:fill="BCDA8E"/>
            <w:noWrap/>
            <w:vAlign w:val="bottom"/>
            <w:hideMark/>
          </w:tcPr>
          <w:p w14:paraId="28B74E4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2.81</w:t>
            </w:r>
          </w:p>
        </w:tc>
        <w:tc>
          <w:tcPr>
            <w:tcW w:w="700" w:type="dxa"/>
            <w:tcBorders>
              <w:top w:val="nil"/>
              <w:left w:val="nil"/>
              <w:bottom w:val="single" w:sz="4" w:space="0" w:color="auto"/>
              <w:right w:val="single" w:sz="4" w:space="0" w:color="auto"/>
            </w:tcBorders>
            <w:shd w:val="clear" w:color="auto" w:fill="auto"/>
            <w:noWrap/>
            <w:vAlign w:val="bottom"/>
            <w:hideMark/>
          </w:tcPr>
          <w:p w14:paraId="1B43DE9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122</w:t>
            </w:r>
          </w:p>
        </w:tc>
        <w:tc>
          <w:tcPr>
            <w:tcW w:w="600" w:type="dxa"/>
            <w:tcBorders>
              <w:top w:val="nil"/>
              <w:left w:val="nil"/>
              <w:bottom w:val="single" w:sz="4" w:space="0" w:color="auto"/>
              <w:right w:val="single" w:sz="4" w:space="0" w:color="auto"/>
            </w:tcBorders>
            <w:shd w:val="clear" w:color="auto" w:fill="auto"/>
            <w:noWrap/>
            <w:vAlign w:val="bottom"/>
            <w:hideMark/>
          </w:tcPr>
          <w:p w14:paraId="15BF92B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40</w:t>
            </w:r>
          </w:p>
        </w:tc>
        <w:tc>
          <w:tcPr>
            <w:tcW w:w="640" w:type="dxa"/>
            <w:tcBorders>
              <w:top w:val="nil"/>
              <w:left w:val="nil"/>
              <w:bottom w:val="single" w:sz="4" w:space="0" w:color="auto"/>
              <w:right w:val="single" w:sz="4" w:space="0" w:color="auto"/>
            </w:tcBorders>
            <w:shd w:val="clear" w:color="auto" w:fill="auto"/>
            <w:noWrap/>
            <w:vAlign w:val="bottom"/>
            <w:hideMark/>
          </w:tcPr>
          <w:p w14:paraId="716D198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42</w:t>
            </w:r>
          </w:p>
        </w:tc>
        <w:tc>
          <w:tcPr>
            <w:tcW w:w="660" w:type="dxa"/>
            <w:tcBorders>
              <w:top w:val="nil"/>
              <w:left w:val="nil"/>
              <w:bottom w:val="single" w:sz="4" w:space="0" w:color="auto"/>
              <w:right w:val="single" w:sz="4" w:space="0" w:color="auto"/>
            </w:tcBorders>
            <w:shd w:val="clear" w:color="auto" w:fill="auto"/>
            <w:noWrap/>
            <w:vAlign w:val="bottom"/>
            <w:hideMark/>
          </w:tcPr>
          <w:p w14:paraId="0178303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40" w:type="dxa"/>
            <w:tcBorders>
              <w:top w:val="nil"/>
              <w:left w:val="nil"/>
              <w:bottom w:val="single" w:sz="4" w:space="0" w:color="auto"/>
              <w:right w:val="single" w:sz="4" w:space="0" w:color="auto"/>
            </w:tcBorders>
            <w:shd w:val="clear" w:color="auto" w:fill="auto"/>
            <w:noWrap/>
            <w:vAlign w:val="bottom"/>
            <w:hideMark/>
          </w:tcPr>
          <w:p w14:paraId="7ADEC3C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w:t>
            </w:r>
          </w:p>
        </w:tc>
        <w:tc>
          <w:tcPr>
            <w:tcW w:w="640" w:type="dxa"/>
            <w:tcBorders>
              <w:top w:val="nil"/>
              <w:left w:val="nil"/>
              <w:bottom w:val="single" w:sz="4" w:space="0" w:color="auto"/>
              <w:right w:val="single" w:sz="4" w:space="0" w:color="auto"/>
            </w:tcBorders>
            <w:shd w:val="clear" w:color="auto" w:fill="auto"/>
            <w:noWrap/>
            <w:vAlign w:val="bottom"/>
            <w:hideMark/>
          </w:tcPr>
          <w:p w14:paraId="4F08ED8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560" w:type="dxa"/>
            <w:tcBorders>
              <w:top w:val="nil"/>
              <w:left w:val="nil"/>
              <w:bottom w:val="single" w:sz="4" w:space="0" w:color="auto"/>
              <w:right w:val="single" w:sz="4" w:space="0" w:color="auto"/>
            </w:tcBorders>
            <w:shd w:val="clear" w:color="auto" w:fill="auto"/>
            <w:noWrap/>
            <w:vAlign w:val="bottom"/>
            <w:hideMark/>
          </w:tcPr>
          <w:p w14:paraId="248C2ED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30ED410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r>
      <w:tr w:rsidR="00D666B5" w:rsidRPr="00902009" w14:paraId="05962165"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7533ECC"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Paradise</w:t>
            </w:r>
          </w:p>
        </w:tc>
        <w:tc>
          <w:tcPr>
            <w:tcW w:w="700"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14:paraId="7F9CF62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2.07</w:t>
            </w:r>
          </w:p>
        </w:tc>
        <w:tc>
          <w:tcPr>
            <w:tcW w:w="7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39BC1B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2.47</w:t>
            </w:r>
          </w:p>
        </w:tc>
        <w:tc>
          <w:tcPr>
            <w:tcW w:w="700" w:type="dxa"/>
            <w:tcBorders>
              <w:top w:val="nil"/>
              <w:left w:val="nil"/>
              <w:bottom w:val="single" w:sz="4" w:space="0" w:color="auto"/>
              <w:right w:val="single" w:sz="4" w:space="0" w:color="auto"/>
            </w:tcBorders>
            <w:shd w:val="clear" w:color="auto" w:fill="auto"/>
            <w:noWrap/>
            <w:vAlign w:val="bottom"/>
            <w:hideMark/>
          </w:tcPr>
          <w:p w14:paraId="496315B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74</w:t>
            </w:r>
          </w:p>
        </w:tc>
        <w:tc>
          <w:tcPr>
            <w:tcW w:w="600" w:type="dxa"/>
            <w:tcBorders>
              <w:top w:val="nil"/>
              <w:left w:val="nil"/>
              <w:bottom w:val="single" w:sz="4" w:space="0" w:color="auto"/>
              <w:right w:val="single" w:sz="4" w:space="0" w:color="auto"/>
            </w:tcBorders>
            <w:shd w:val="clear" w:color="auto" w:fill="auto"/>
            <w:noWrap/>
            <w:vAlign w:val="bottom"/>
            <w:hideMark/>
          </w:tcPr>
          <w:p w14:paraId="7944187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640" w:type="dxa"/>
            <w:tcBorders>
              <w:top w:val="nil"/>
              <w:left w:val="nil"/>
              <w:bottom w:val="single" w:sz="4" w:space="0" w:color="auto"/>
              <w:right w:val="single" w:sz="4" w:space="0" w:color="auto"/>
            </w:tcBorders>
            <w:shd w:val="clear" w:color="auto" w:fill="auto"/>
            <w:noWrap/>
            <w:vAlign w:val="bottom"/>
            <w:hideMark/>
          </w:tcPr>
          <w:p w14:paraId="446A8B8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38</w:t>
            </w:r>
          </w:p>
        </w:tc>
        <w:tc>
          <w:tcPr>
            <w:tcW w:w="660" w:type="dxa"/>
            <w:tcBorders>
              <w:top w:val="nil"/>
              <w:left w:val="nil"/>
              <w:bottom w:val="single" w:sz="4" w:space="0" w:color="auto"/>
              <w:right w:val="single" w:sz="4" w:space="0" w:color="auto"/>
            </w:tcBorders>
            <w:shd w:val="clear" w:color="auto" w:fill="auto"/>
            <w:noWrap/>
            <w:vAlign w:val="bottom"/>
            <w:hideMark/>
          </w:tcPr>
          <w:p w14:paraId="4677AA3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14:paraId="77C9B03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40" w:type="dxa"/>
            <w:tcBorders>
              <w:top w:val="nil"/>
              <w:left w:val="nil"/>
              <w:bottom w:val="single" w:sz="4" w:space="0" w:color="auto"/>
              <w:right w:val="single" w:sz="4" w:space="0" w:color="auto"/>
            </w:tcBorders>
            <w:shd w:val="clear" w:color="auto" w:fill="auto"/>
            <w:noWrap/>
            <w:vAlign w:val="bottom"/>
            <w:hideMark/>
          </w:tcPr>
          <w:p w14:paraId="0F7AC6B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74270B8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18F18C0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14:paraId="53E2C44A"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B8BD749"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Swall Meadows</w:t>
            </w:r>
          </w:p>
        </w:tc>
        <w:tc>
          <w:tcPr>
            <w:tcW w:w="700"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6ECF032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2.24</w:t>
            </w:r>
          </w:p>
        </w:tc>
        <w:tc>
          <w:tcPr>
            <w:tcW w:w="720" w:type="dxa"/>
            <w:tcBorders>
              <w:top w:val="single" w:sz="4" w:space="0" w:color="auto"/>
              <w:left w:val="single" w:sz="4" w:space="0" w:color="auto"/>
              <w:bottom w:val="single" w:sz="4" w:space="0" w:color="auto"/>
              <w:right w:val="single" w:sz="4" w:space="0" w:color="auto"/>
            </w:tcBorders>
            <w:shd w:val="clear" w:color="000000" w:fill="E6E797"/>
            <w:noWrap/>
            <w:vAlign w:val="bottom"/>
            <w:hideMark/>
          </w:tcPr>
          <w:p w14:paraId="16B9D8B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700" w:type="dxa"/>
            <w:tcBorders>
              <w:top w:val="nil"/>
              <w:left w:val="nil"/>
              <w:bottom w:val="single" w:sz="4" w:space="0" w:color="auto"/>
              <w:right w:val="single" w:sz="4" w:space="0" w:color="auto"/>
            </w:tcBorders>
            <w:shd w:val="clear" w:color="auto" w:fill="auto"/>
            <w:noWrap/>
            <w:vAlign w:val="bottom"/>
            <w:hideMark/>
          </w:tcPr>
          <w:p w14:paraId="72BB0E8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98</w:t>
            </w:r>
          </w:p>
        </w:tc>
        <w:tc>
          <w:tcPr>
            <w:tcW w:w="600" w:type="dxa"/>
            <w:tcBorders>
              <w:top w:val="nil"/>
              <w:left w:val="nil"/>
              <w:bottom w:val="single" w:sz="4" w:space="0" w:color="auto"/>
              <w:right w:val="single" w:sz="4" w:space="0" w:color="auto"/>
            </w:tcBorders>
            <w:shd w:val="clear" w:color="auto" w:fill="auto"/>
            <w:noWrap/>
            <w:vAlign w:val="bottom"/>
            <w:hideMark/>
          </w:tcPr>
          <w:p w14:paraId="0D2990D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40" w:type="dxa"/>
            <w:tcBorders>
              <w:top w:val="nil"/>
              <w:left w:val="nil"/>
              <w:bottom w:val="single" w:sz="4" w:space="0" w:color="auto"/>
              <w:right w:val="single" w:sz="4" w:space="0" w:color="auto"/>
            </w:tcBorders>
            <w:shd w:val="clear" w:color="auto" w:fill="auto"/>
            <w:noWrap/>
            <w:vAlign w:val="bottom"/>
            <w:hideMark/>
          </w:tcPr>
          <w:p w14:paraId="0EA721C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47</w:t>
            </w:r>
          </w:p>
        </w:tc>
        <w:tc>
          <w:tcPr>
            <w:tcW w:w="660" w:type="dxa"/>
            <w:tcBorders>
              <w:top w:val="nil"/>
              <w:left w:val="nil"/>
              <w:bottom w:val="single" w:sz="4" w:space="0" w:color="auto"/>
              <w:right w:val="single" w:sz="4" w:space="0" w:color="auto"/>
            </w:tcBorders>
            <w:shd w:val="clear" w:color="auto" w:fill="auto"/>
            <w:noWrap/>
            <w:vAlign w:val="bottom"/>
            <w:hideMark/>
          </w:tcPr>
          <w:p w14:paraId="3CC7078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40" w:type="dxa"/>
            <w:tcBorders>
              <w:top w:val="nil"/>
              <w:left w:val="nil"/>
              <w:bottom w:val="single" w:sz="4" w:space="0" w:color="auto"/>
              <w:right w:val="single" w:sz="4" w:space="0" w:color="auto"/>
            </w:tcBorders>
            <w:shd w:val="clear" w:color="auto" w:fill="auto"/>
            <w:noWrap/>
            <w:vAlign w:val="bottom"/>
            <w:hideMark/>
          </w:tcPr>
          <w:p w14:paraId="3A7805F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14:paraId="298A3C6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14:paraId="373C53E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206B6A8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14:paraId="195E4FC5"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D911F67"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Sunny Slopes</w:t>
            </w:r>
          </w:p>
        </w:tc>
        <w:tc>
          <w:tcPr>
            <w:tcW w:w="700"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14:paraId="036E881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2.14</w:t>
            </w:r>
          </w:p>
        </w:tc>
        <w:tc>
          <w:tcPr>
            <w:tcW w:w="720" w:type="dxa"/>
            <w:tcBorders>
              <w:top w:val="single" w:sz="4" w:space="0" w:color="auto"/>
              <w:left w:val="single" w:sz="4" w:space="0" w:color="auto"/>
              <w:bottom w:val="single" w:sz="4" w:space="0" w:color="auto"/>
              <w:right w:val="single" w:sz="4" w:space="0" w:color="auto"/>
            </w:tcBorders>
            <w:shd w:val="clear" w:color="000000" w:fill="BADA8E"/>
            <w:noWrap/>
            <w:vAlign w:val="bottom"/>
            <w:hideMark/>
          </w:tcPr>
          <w:p w14:paraId="426698E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2.82</w:t>
            </w:r>
          </w:p>
        </w:tc>
        <w:tc>
          <w:tcPr>
            <w:tcW w:w="700" w:type="dxa"/>
            <w:tcBorders>
              <w:top w:val="nil"/>
              <w:left w:val="nil"/>
              <w:bottom w:val="single" w:sz="4" w:space="0" w:color="auto"/>
              <w:right w:val="single" w:sz="4" w:space="0" w:color="auto"/>
            </w:tcBorders>
            <w:shd w:val="clear" w:color="auto" w:fill="auto"/>
            <w:noWrap/>
            <w:vAlign w:val="bottom"/>
            <w:hideMark/>
          </w:tcPr>
          <w:p w14:paraId="75043CD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85</w:t>
            </w:r>
          </w:p>
        </w:tc>
        <w:tc>
          <w:tcPr>
            <w:tcW w:w="600" w:type="dxa"/>
            <w:tcBorders>
              <w:top w:val="nil"/>
              <w:left w:val="nil"/>
              <w:bottom w:val="single" w:sz="4" w:space="0" w:color="auto"/>
              <w:right w:val="single" w:sz="4" w:space="0" w:color="auto"/>
            </w:tcBorders>
            <w:shd w:val="clear" w:color="auto" w:fill="auto"/>
            <w:noWrap/>
            <w:vAlign w:val="bottom"/>
            <w:hideMark/>
          </w:tcPr>
          <w:p w14:paraId="3E9DFD8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w:t>
            </w:r>
          </w:p>
        </w:tc>
        <w:tc>
          <w:tcPr>
            <w:tcW w:w="640" w:type="dxa"/>
            <w:tcBorders>
              <w:top w:val="nil"/>
              <w:left w:val="nil"/>
              <w:bottom w:val="single" w:sz="4" w:space="0" w:color="auto"/>
              <w:right w:val="single" w:sz="4" w:space="0" w:color="auto"/>
            </w:tcBorders>
            <w:shd w:val="clear" w:color="auto" w:fill="auto"/>
            <w:noWrap/>
            <w:vAlign w:val="bottom"/>
            <w:hideMark/>
          </w:tcPr>
          <w:p w14:paraId="4E1441E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31</w:t>
            </w:r>
          </w:p>
        </w:tc>
        <w:tc>
          <w:tcPr>
            <w:tcW w:w="660" w:type="dxa"/>
            <w:tcBorders>
              <w:top w:val="nil"/>
              <w:left w:val="nil"/>
              <w:bottom w:val="single" w:sz="4" w:space="0" w:color="auto"/>
              <w:right w:val="single" w:sz="4" w:space="0" w:color="auto"/>
            </w:tcBorders>
            <w:shd w:val="clear" w:color="auto" w:fill="auto"/>
            <w:noWrap/>
            <w:vAlign w:val="bottom"/>
            <w:hideMark/>
          </w:tcPr>
          <w:p w14:paraId="7A31A35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640" w:type="dxa"/>
            <w:tcBorders>
              <w:top w:val="nil"/>
              <w:left w:val="nil"/>
              <w:bottom w:val="single" w:sz="4" w:space="0" w:color="auto"/>
              <w:right w:val="single" w:sz="4" w:space="0" w:color="auto"/>
            </w:tcBorders>
            <w:shd w:val="clear" w:color="auto" w:fill="auto"/>
            <w:noWrap/>
            <w:vAlign w:val="bottom"/>
            <w:hideMark/>
          </w:tcPr>
          <w:p w14:paraId="5D54520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14:paraId="06DC393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498B452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7EE7B02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14:paraId="431273D9"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226ECA4" w14:textId="77777777" w:rsidR="00D666B5" w:rsidRPr="00902009" w:rsidRDefault="00022FE4" w:rsidP="00D666B5">
            <w:pPr>
              <w:spacing w:after="0" w:line="240" w:lineRule="auto"/>
              <w:rPr>
                <w:rFonts w:eastAsia="Times New Roman" w:cs="Times New Roman"/>
                <w:color w:val="000000"/>
              </w:rPr>
            </w:pPr>
            <w:r>
              <w:rPr>
                <w:rFonts w:eastAsia="Times New Roman" w:cs="Times New Roman"/>
                <w:color w:val="000000"/>
              </w:rPr>
              <w:t>Asp</w:t>
            </w:r>
            <w:r w:rsidR="00D666B5" w:rsidRPr="00902009">
              <w:rPr>
                <w:rFonts w:eastAsia="Times New Roman" w:cs="Times New Roman"/>
                <w:color w:val="000000"/>
              </w:rPr>
              <w:t>en Springs</w:t>
            </w:r>
          </w:p>
        </w:tc>
        <w:tc>
          <w:tcPr>
            <w:tcW w:w="700" w:type="dxa"/>
            <w:tcBorders>
              <w:top w:val="single" w:sz="4" w:space="0" w:color="auto"/>
              <w:left w:val="single" w:sz="4" w:space="0" w:color="auto"/>
              <w:bottom w:val="single" w:sz="4" w:space="0" w:color="auto"/>
              <w:right w:val="single" w:sz="4" w:space="0" w:color="auto"/>
            </w:tcBorders>
            <w:shd w:val="clear" w:color="000000" w:fill="94CE86"/>
            <w:noWrap/>
            <w:vAlign w:val="bottom"/>
            <w:hideMark/>
          </w:tcPr>
          <w:p w14:paraId="3A5132A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720" w:type="dxa"/>
            <w:tcBorders>
              <w:top w:val="single" w:sz="4" w:space="0" w:color="auto"/>
              <w:left w:val="single" w:sz="4" w:space="0" w:color="auto"/>
              <w:bottom w:val="single" w:sz="4" w:space="0" w:color="auto"/>
              <w:right w:val="single" w:sz="4" w:space="0" w:color="auto"/>
            </w:tcBorders>
            <w:shd w:val="clear" w:color="000000" w:fill="CCDF92"/>
            <w:noWrap/>
            <w:vAlign w:val="bottom"/>
            <w:hideMark/>
          </w:tcPr>
          <w:p w14:paraId="58104FA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2.73</w:t>
            </w:r>
          </w:p>
        </w:tc>
        <w:tc>
          <w:tcPr>
            <w:tcW w:w="700" w:type="dxa"/>
            <w:tcBorders>
              <w:top w:val="nil"/>
              <w:left w:val="nil"/>
              <w:bottom w:val="single" w:sz="4" w:space="0" w:color="auto"/>
              <w:right w:val="single" w:sz="4" w:space="0" w:color="auto"/>
            </w:tcBorders>
            <w:shd w:val="clear" w:color="auto" w:fill="auto"/>
            <w:noWrap/>
            <w:vAlign w:val="bottom"/>
            <w:hideMark/>
          </w:tcPr>
          <w:p w14:paraId="04CBF17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600" w:type="dxa"/>
            <w:tcBorders>
              <w:top w:val="nil"/>
              <w:left w:val="nil"/>
              <w:bottom w:val="single" w:sz="4" w:space="0" w:color="auto"/>
              <w:right w:val="single" w:sz="4" w:space="0" w:color="auto"/>
            </w:tcBorders>
            <w:shd w:val="clear" w:color="auto" w:fill="auto"/>
            <w:noWrap/>
            <w:vAlign w:val="bottom"/>
            <w:hideMark/>
          </w:tcPr>
          <w:p w14:paraId="1EFA2BA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7E68A67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13</w:t>
            </w:r>
          </w:p>
        </w:tc>
        <w:tc>
          <w:tcPr>
            <w:tcW w:w="660" w:type="dxa"/>
            <w:tcBorders>
              <w:top w:val="nil"/>
              <w:left w:val="nil"/>
              <w:bottom w:val="single" w:sz="4" w:space="0" w:color="auto"/>
              <w:right w:val="single" w:sz="4" w:space="0" w:color="auto"/>
            </w:tcBorders>
            <w:shd w:val="clear" w:color="auto" w:fill="auto"/>
            <w:noWrap/>
            <w:vAlign w:val="bottom"/>
            <w:hideMark/>
          </w:tcPr>
          <w:p w14:paraId="0FC6068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40" w:type="dxa"/>
            <w:tcBorders>
              <w:top w:val="nil"/>
              <w:left w:val="nil"/>
              <w:bottom w:val="single" w:sz="4" w:space="0" w:color="auto"/>
              <w:right w:val="single" w:sz="4" w:space="0" w:color="auto"/>
            </w:tcBorders>
            <w:shd w:val="clear" w:color="auto" w:fill="auto"/>
            <w:noWrap/>
            <w:vAlign w:val="bottom"/>
            <w:hideMark/>
          </w:tcPr>
          <w:p w14:paraId="3AF656C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w:t>
            </w:r>
          </w:p>
        </w:tc>
        <w:tc>
          <w:tcPr>
            <w:tcW w:w="640" w:type="dxa"/>
            <w:tcBorders>
              <w:top w:val="nil"/>
              <w:left w:val="nil"/>
              <w:bottom w:val="single" w:sz="4" w:space="0" w:color="auto"/>
              <w:right w:val="single" w:sz="4" w:space="0" w:color="auto"/>
            </w:tcBorders>
            <w:shd w:val="clear" w:color="auto" w:fill="auto"/>
            <w:noWrap/>
            <w:vAlign w:val="bottom"/>
            <w:hideMark/>
          </w:tcPr>
          <w:p w14:paraId="176B8D9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1423EBB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4117A49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14:paraId="25545D0C"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5F325BF"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Crowley Lake</w:t>
            </w:r>
          </w:p>
        </w:tc>
        <w:tc>
          <w:tcPr>
            <w:tcW w:w="700" w:type="dxa"/>
            <w:tcBorders>
              <w:top w:val="single" w:sz="4" w:space="0" w:color="auto"/>
              <w:left w:val="single" w:sz="4" w:space="0" w:color="auto"/>
              <w:bottom w:val="single" w:sz="4" w:space="0" w:color="auto"/>
              <w:right w:val="single" w:sz="4" w:space="0" w:color="auto"/>
            </w:tcBorders>
            <w:shd w:val="clear" w:color="000000" w:fill="BADA8E"/>
            <w:noWrap/>
            <w:vAlign w:val="bottom"/>
            <w:hideMark/>
          </w:tcPr>
          <w:p w14:paraId="4BFBE90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2.37</w:t>
            </w:r>
          </w:p>
        </w:tc>
        <w:tc>
          <w:tcPr>
            <w:tcW w:w="720" w:type="dxa"/>
            <w:tcBorders>
              <w:top w:val="single" w:sz="4" w:space="0" w:color="auto"/>
              <w:left w:val="single" w:sz="4" w:space="0" w:color="auto"/>
              <w:bottom w:val="single" w:sz="4" w:space="0" w:color="auto"/>
              <w:right w:val="single" w:sz="4" w:space="0" w:color="auto"/>
            </w:tcBorders>
            <w:shd w:val="clear" w:color="000000" w:fill="AED68B"/>
            <w:noWrap/>
            <w:vAlign w:val="bottom"/>
            <w:hideMark/>
          </w:tcPr>
          <w:p w14:paraId="1A2786D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2.88</w:t>
            </w:r>
          </w:p>
        </w:tc>
        <w:tc>
          <w:tcPr>
            <w:tcW w:w="700" w:type="dxa"/>
            <w:tcBorders>
              <w:top w:val="nil"/>
              <w:left w:val="nil"/>
              <w:bottom w:val="single" w:sz="4" w:space="0" w:color="auto"/>
              <w:right w:val="single" w:sz="4" w:space="0" w:color="auto"/>
            </w:tcBorders>
            <w:shd w:val="clear" w:color="auto" w:fill="auto"/>
            <w:noWrap/>
            <w:vAlign w:val="bottom"/>
            <w:hideMark/>
          </w:tcPr>
          <w:p w14:paraId="796BA82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367</w:t>
            </w:r>
          </w:p>
        </w:tc>
        <w:tc>
          <w:tcPr>
            <w:tcW w:w="600" w:type="dxa"/>
            <w:tcBorders>
              <w:top w:val="nil"/>
              <w:left w:val="nil"/>
              <w:bottom w:val="single" w:sz="4" w:space="0" w:color="auto"/>
              <w:right w:val="single" w:sz="4" w:space="0" w:color="auto"/>
            </w:tcBorders>
            <w:shd w:val="clear" w:color="auto" w:fill="auto"/>
            <w:noWrap/>
            <w:vAlign w:val="bottom"/>
            <w:hideMark/>
          </w:tcPr>
          <w:p w14:paraId="321F1B7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99</w:t>
            </w:r>
          </w:p>
        </w:tc>
        <w:tc>
          <w:tcPr>
            <w:tcW w:w="640" w:type="dxa"/>
            <w:tcBorders>
              <w:top w:val="nil"/>
              <w:left w:val="nil"/>
              <w:bottom w:val="single" w:sz="4" w:space="0" w:color="auto"/>
              <w:right w:val="single" w:sz="4" w:space="0" w:color="auto"/>
            </w:tcBorders>
            <w:shd w:val="clear" w:color="auto" w:fill="auto"/>
            <w:noWrap/>
            <w:vAlign w:val="bottom"/>
            <w:hideMark/>
          </w:tcPr>
          <w:p w14:paraId="6E6E682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138</w:t>
            </w:r>
          </w:p>
        </w:tc>
        <w:tc>
          <w:tcPr>
            <w:tcW w:w="660" w:type="dxa"/>
            <w:tcBorders>
              <w:top w:val="nil"/>
              <w:left w:val="nil"/>
              <w:bottom w:val="single" w:sz="4" w:space="0" w:color="auto"/>
              <w:right w:val="single" w:sz="4" w:space="0" w:color="auto"/>
            </w:tcBorders>
            <w:shd w:val="clear" w:color="auto" w:fill="auto"/>
            <w:noWrap/>
            <w:vAlign w:val="bottom"/>
            <w:hideMark/>
          </w:tcPr>
          <w:p w14:paraId="1C9E363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59</w:t>
            </w:r>
          </w:p>
        </w:tc>
        <w:tc>
          <w:tcPr>
            <w:tcW w:w="640" w:type="dxa"/>
            <w:tcBorders>
              <w:top w:val="nil"/>
              <w:left w:val="nil"/>
              <w:bottom w:val="single" w:sz="4" w:space="0" w:color="auto"/>
              <w:right w:val="single" w:sz="4" w:space="0" w:color="auto"/>
            </w:tcBorders>
            <w:shd w:val="clear" w:color="auto" w:fill="auto"/>
            <w:noWrap/>
            <w:vAlign w:val="bottom"/>
            <w:hideMark/>
          </w:tcPr>
          <w:p w14:paraId="7C92059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47</w:t>
            </w:r>
          </w:p>
        </w:tc>
        <w:tc>
          <w:tcPr>
            <w:tcW w:w="640" w:type="dxa"/>
            <w:tcBorders>
              <w:top w:val="nil"/>
              <w:left w:val="nil"/>
              <w:bottom w:val="single" w:sz="4" w:space="0" w:color="auto"/>
              <w:right w:val="single" w:sz="4" w:space="0" w:color="auto"/>
            </w:tcBorders>
            <w:shd w:val="clear" w:color="auto" w:fill="auto"/>
            <w:noWrap/>
            <w:vAlign w:val="bottom"/>
            <w:hideMark/>
          </w:tcPr>
          <w:p w14:paraId="08ED3B2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560" w:type="dxa"/>
            <w:tcBorders>
              <w:top w:val="nil"/>
              <w:left w:val="nil"/>
              <w:bottom w:val="single" w:sz="4" w:space="0" w:color="auto"/>
              <w:right w:val="single" w:sz="4" w:space="0" w:color="auto"/>
            </w:tcBorders>
            <w:shd w:val="clear" w:color="auto" w:fill="auto"/>
            <w:noWrap/>
            <w:vAlign w:val="bottom"/>
            <w:hideMark/>
          </w:tcPr>
          <w:p w14:paraId="10027A1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20" w:type="dxa"/>
            <w:tcBorders>
              <w:top w:val="nil"/>
              <w:left w:val="nil"/>
              <w:bottom w:val="single" w:sz="4" w:space="0" w:color="auto"/>
              <w:right w:val="single" w:sz="4" w:space="0" w:color="auto"/>
            </w:tcBorders>
            <w:shd w:val="clear" w:color="auto" w:fill="auto"/>
            <w:noWrap/>
            <w:vAlign w:val="bottom"/>
            <w:hideMark/>
          </w:tcPr>
          <w:p w14:paraId="4A11BB8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r>
      <w:tr w:rsidR="00D666B5" w:rsidRPr="00902009" w14:paraId="6E43E5E3"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0826CE0"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McGee Creek</w:t>
            </w:r>
          </w:p>
        </w:tc>
        <w:tc>
          <w:tcPr>
            <w:tcW w:w="7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697AD3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1.95</w:t>
            </w:r>
          </w:p>
        </w:tc>
        <w:tc>
          <w:tcPr>
            <w:tcW w:w="720"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14:paraId="53DCB04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700" w:type="dxa"/>
            <w:tcBorders>
              <w:top w:val="nil"/>
              <w:left w:val="nil"/>
              <w:bottom w:val="single" w:sz="4" w:space="0" w:color="auto"/>
              <w:right w:val="single" w:sz="4" w:space="0" w:color="auto"/>
            </w:tcBorders>
            <w:shd w:val="clear" w:color="auto" w:fill="auto"/>
            <w:noWrap/>
            <w:vAlign w:val="bottom"/>
            <w:hideMark/>
          </w:tcPr>
          <w:p w14:paraId="5464894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00" w:type="dxa"/>
            <w:tcBorders>
              <w:top w:val="nil"/>
              <w:left w:val="nil"/>
              <w:bottom w:val="single" w:sz="4" w:space="0" w:color="auto"/>
              <w:right w:val="single" w:sz="4" w:space="0" w:color="auto"/>
            </w:tcBorders>
            <w:shd w:val="clear" w:color="auto" w:fill="auto"/>
            <w:noWrap/>
            <w:vAlign w:val="bottom"/>
            <w:hideMark/>
          </w:tcPr>
          <w:p w14:paraId="2FF487E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40" w:type="dxa"/>
            <w:tcBorders>
              <w:top w:val="nil"/>
              <w:left w:val="nil"/>
              <w:bottom w:val="single" w:sz="4" w:space="0" w:color="auto"/>
              <w:right w:val="single" w:sz="4" w:space="0" w:color="auto"/>
            </w:tcBorders>
            <w:shd w:val="clear" w:color="auto" w:fill="auto"/>
            <w:noWrap/>
            <w:vAlign w:val="bottom"/>
            <w:hideMark/>
          </w:tcPr>
          <w:p w14:paraId="530E411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60" w:type="dxa"/>
            <w:tcBorders>
              <w:top w:val="nil"/>
              <w:left w:val="nil"/>
              <w:bottom w:val="single" w:sz="4" w:space="0" w:color="auto"/>
              <w:right w:val="single" w:sz="4" w:space="0" w:color="auto"/>
            </w:tcBorders>
            <w:shd w:val="clear" w:color="auto" w:fill="auto"/>
            <w:noWrap/>
            <w:vAlign w:val="bottom"/>
            <w:hideMark/>
          </w:tcPr>
          <w:p w14:paraId="64E50F7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428E18F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6060E7C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14:paraId="00A825D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14:paraId="4DC0889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14:paraId="6EFED79E"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DD71825"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June Lake</w:t>
            </w:r>
          </w:p>
        </w:tc>
        <w:tc>
          <w:tcPr>
            <w:tcW w:w="700"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14:paraId="7FC625D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2.16</w:t>
            </w:r>
          </w:p>
        </w:tc>
        <w:tc>
          <w:tcPr>
            <w:tcW w:w="720"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14:paraId="6FA5D61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2.77</w:t>
            </w:r>
          </w:p>
        </w:tc>
        <w:tc>
          <w:tcPr>
            <w:tcW w:w="700" w:type="dxa"/>
            <w:tcBorders>
              <w:top w:val="nil"/>
              <w:left w:val="nil"/>
              <w:bottom w:val="single" w:sz="4" w:space="0" w:color="auto"/>
              <w:right w:val="single" w:sz="4" w:space="0" w:color="auto"/>
            </w:tcBorders>
            <w:shd w:val="clear" w:color="auto" w:fill="auto"/>
            <w:noWrap/>
            <w:vAlign w:val="bottom"/>
            <w:hideMark/>
          </w:tcPr>
          <w:p w14:paraId="4812D9F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290</w:t>
            </w:r>
          </w:p>
        </w:tc>
        <w:tc>
          <w:tcPr>
            <w:tcW w:w="600" w:type="dxa"/>
            <w:tcBorders>
              <w:top w:val="nil"/>
              <w:left w:val="nil"/>
              <w:bottom w:val="single" w:sz="4" w:space="0" w:color="auto"/>
              <w:right w:val="single" w:sz="4" w:space="0" w:color="auto"/>
            </w:tcBorders>
            <w:shd w:val="clear" w:color="auto" w:fill="auto"/>
            <w:noWrap/>
            <w:vAlign w:val="bottom"/>
            <w:hideMark/>
          </w:tcPr>
          <w:p w14:paraId="163FC53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97</w:t>
            </w:r>
          </w:p>
        </w:tc>
        <w:tc>
          <w:tcPr>
            <w:tcW w:w="640" w:type="dxa"/>
            <w:tcBorders>
              <w:top w:val="nil"/>
              <w:left w:val="nil"/>
              <w:bottom w:val="single" w:sz="4" w:space="0" w:color="auto"/>
              <w:right w:val="single" w:sz="4" w:space="0" w:color="auto"/>
            </w:tcBorders>
            <w:shd w:val="clear" w:color="auto" w:fill="auto"/>
            <w:noWrap/>
            <w:vAlign w:val="bottom"/>
            <w:hideMark/>
          </w:tcPr>
          <w:p w14:paraId="277CF66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119</w:t>
            </w:r>
          </w:p>
        </w:tc>
        <w:tc>
          <w:tcPr>
            <w:tcW w:w="660" w:type="dxa"/>
            <w:tcBorders>
              <w:top w:val="nil"/>
              <w:left w:val="nil"/>
              <w:bottom w:val="single" w:sz="4" w:space="0" w:color="auto"/>
              <w:right w:val="single" w:sz="4" w:space="0" w:color="auto"/>
            </w:tcBorders>
            <w:shd w:val="clear" w:color="auto" w:fill="auto"/>
            <w:noWrap/>
            <w:vAlign w:val="bottom"/>
            <w:hideMark/>
          </w:tcPr>
          <w:p w14:paraId="000625E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33</w:t>
            </w:r>
          </w:p>
        </w:tc>
        <w:tc>
          <w:tcPr>
            <w:tcW w:w="640" w:type="dxa"/>
            <w:tcBorders>
              <w:top w:val="nil"/>
              <w:left w:val="nil"/>
              <w:bottom w:val="single" w:sz="4" w:space="0" w:color="auto"/>
              <w:right w:val="single" w:sz="4" w:space="0" w:color="auto"/>
            </w:tcBorders>
            <w:shd w:val="clear" w:color="auto" w:fill="auto"/>
            <w:noWrap/>
            <w:vAlign w:val="bottom"/>
            <w:hideMark/>
          </w:tcPr>
          <w:p w14:paraId="06E8461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640" w:type="dxa"/>
            <w:tcBorders>
              <w:top w:val="nil"/>
              <w:left w:val="nil"/>
              <w:bottom w:val="single" w:sz="4" w:space="0" w:color="auto"/>
              <w:right w:val="single" w:sz="4" w:space="0" w:color="auto"/>
            </w:tcBorders>
            <w:shd w:val="clear" w:color="auto" w:fill="auto"/>
            <w:noWrap/>
            <w:vAlign w:val="bottom"/>
            <w:hideMark/>
          </w:tcPr>
          <w:p w14:paraId="17D5A4E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560" w:type="dxa"/>
            <w:tcBorders>
              <w:top w:val="nil"/>
              <w:left w:val="nil"/>
              <w:bottom w:val="single" w:sz="4" w:space="0" w:color="auto"/>
              <w:right w:val="single" w:sz="4" w:space="0" w:color="auto"/>
            </w:tcBorders>
            <w:shd w:val="clear" w:color="auto" w:fill="auto"/>
            <w:noWrap/>
            <w:vAlign w:val="bottom"/>
            <w:hideMark/>
          </w:tcPr>
          <w:p w14:paraId="7A24943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20" w:type="dxa"/>
            <w:tcBorders>
              <w:top w:val="nil"/>
              <w:left w:val="nil"/>
              <w:bottom w:val="single" w:sz="4" w:space="0" w:color="auto"/>
              <w:right w:val="single" w:sz="4" w:space="0" w:color="auto"/>
            </w:tcBorders>
            <w:shd w:val="clear" w:color="auto" w:fill="auto"/>
            <w:noWrap/>
            <w:vAlign w:val="bottom"/>
            <w:hideMark/>
          </w:tcPr>
          <w:p w14:paraId="68570F9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r>
      <w:tr w:rsidR="00D666B5" w:rsidRPr="00902009" w14:paraId="6D729759"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1A2C395"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Lee Vining</w:t>
            </w:r>
          </w:p>
        </w:tc>
        <w:tc>
          <w:tcPr>
            <w:tcW w:w="700"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14:paraId="1C35F64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2.51</w:t>
            </w:r>
          </w:p>
        </w:tc>
        <w:tc>
          <w:tcPr>
            <w:tcW w:w="7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36091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3.25</w:t>
            </w:r>
          </w:p>
        </w:tc>
        <w:tc>
          <w:tcPr>
            <w:tcW w:w="700" w:type="dxa"/>
            <w:tcBorders>
              <w:top w:val="nil"/>
              <w:left w:val="nil"/>
              <w:bottom w:val="single" w:sz="4" w:space="0" w:color="auto"/>
              <w:right w:val="single" w:sz="4" w:space="0" w:color="auto"/>
            </w:tcBorders>
            <w:shd w:val="clear" w:color="auto" w:fill="auto"/>
            <w:noWrap/>
            <w:vAlign w:val="bottom"/>
            <w:hideMark/>
          </w:tcPr>
          <w:p w14:paraId="7D08790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85</w:t>
            </w:r>
          </w:p>
        </w:tc>
        <w:tc>
          <w:tcPr>
            <w:tcW w:w="600" w:type="dxa"/>
            <w:tcBorders>
              <w:top w:val="nil"/>
              <w:left w:val="nil"/>
              <w:bottom w:val="single" w:sz="4" w:space="0" w:color="auto"/>
              <w:right w:val="single" w:sz="4" w:space="0" w:color="auto"/>
            </w:tcBorders>
            <w:shd w:val="clear" w:color="auto" w:fill="auto"/>
            <w:noWrap/>
            <w:vAlign w:val="bottom"/>
            <w:hideMark/>
          </w:tcPr>
          <w:p w14:paraId="4917ACB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w:t>
            </w:r>
          </w:p>
        </w:tc>
        <w:tc>
          <w:tcPr>
            <w:tcW w:w="640" w:type="dxa"/>
            <w:tcBorders>
              <w:top w:val="nil"/>
              <w:left w:val="nil"/>
              <w:bottom w:val="single" w:sz="4" w:space="0" w:color="auto"/>
              <w:right w:val="single" w:sz="4" w:space="0" w:color="auto"/>
            </w:tcBorders>
            <w:shd w:val="clear" w:color="auto" w:fill="auto"/>
            <w:noWrap/>
            <w:vAlign w:val="bottom"/>
            <w:hideMark/>
          </w:tcPr>
          <w:p w14:paraId="2C4940D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w:t>
            </w:r>
          </w:p>
        </w:tc>
        <w:tc>
          <w:tcPr>
            <w:tcW w:w="660" w:type="dxa"/>
            <w:tcBorders>
              <w:top w:val="nil"/>
              <w:left w:val="nil"/>
              <w:bottom w:val="single" w:sz="4" w:space="0" w:color="auto"/>
              <w:right w:val="single" w:sz="4" w:space="0" w:color="auto"/>
            </w:tcBorders>
            <w:shd w:val="clear" w:color="auto" w:fill="auto"/>
            <w:noWrap/>
            <w:vAlign w:val="bottom"/>
            <w:hideMark/>
          </w:tcPr>
          <w:p w14:paraId="114974F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w:t>
            </w:r>
          </w:p>
        </w:tc>
        <w:tc>
          <w:tcPr>
            <w:tcW w:w="640" w:type="dxa"/>
            <w:tcBorders>
              <w:top w:val="nil"/>
              <w:left w:val="nil"/>
              <w:bottom w:val="single" w:sz="4" w:space="0" w:color="auto"/>
              <w:right w:val="single" w:sz="4" w:space="0" w:color="auto"/>
            </w:tcBorders>
            <w:shd w:val="clear" w:color="auto" w:fill="auto"/>
            <w:noWrap/>
            <w:vAlign w:val="bottom"/>
            <w:hideMark/>
          </w:tcPr>
          <w:p w14:paraId="4A17E63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w:t>
            </w:r>
          </w:p>
        </w:tc>
        <w:tc>
          <w:tcPr>
            <w:tcW w:w="640" w:type="dxa"/>
            <w:tcBorders>
              <w:top w:val="nil"/>
              <w:left w:val="nil"/>
              <w:bottom w:val="single" w:sz="4" w:space="0" w:color="auto"/>
              <w:right w:val="single" w:sz="4" w:space="0" w:color="auto"/>
            </w:tcBorders>
            <w:shd w:val="clear" w:color="auto" w:fill="auto"/>
            <w:noWrap/>
            <w:vAlign w:val="bottom"/>
            <w:hideMark/>
          </w:tcPr>
          <w:p w14:paraId="11E6B8D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c>
          <w:tcPr>
            <w:tcW w:w="560" w:type="dxa"/>
            <w:tcBorders>
              <w:top w:val="nil"/>
              <w:left w:val="nil"/>
              <w:bottom w:val="single" w:sz="4" w:space="0" w:color="auto"/>
              <w:right w:val="single" w:sz="4" w:space="0" w:color="auto"/>
            </w:tcBorders>
            <w:shd w:val="clear" w:color="auto" w:fill="auto"/>
            <w:noWrap/>
            <w:vAlign w:val="bottom"/>
            <w:hideMark/>
          </w:tcPr>
          <w:p w14:paraId="5B4D340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3BD1749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r>
      <w:tr w:rsidR="00D666B5" w:rsidRPr="00902009" w14:paraId="51A57DCE"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0253102"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Mono City</w:t>
            </w:r>
          </w:p>
        </w:tc>
        <w:tc>
          <w:tcPr>
            <w:tcW w:w="700" w:type="dxa"/>
            <w:tcBorders>
              <w:top w:val="single" w:sz="4" w:space="0" w:color="auto"/>
              <w:left w:val="single" w:sz="4" w:space="0" w:color="auto"/>
              <w:bottom w:val="single" w:sz="4" w:space="0" w:color="auto"/>
              <w:right w:val="single" w:sz="4" w:space="0" w:color="auto"/>
            </w:tcBorders>
            <w:shd w:val="clear" w:color="000000" w:fill="7EC781"/>
            <w:noWrap/>
            <w:vAlign w:val="bottom"/>
            <w:hideMark/>
          </w:tcPr>
          <w:p w14:paraId="0DD6075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2.73</w:t>
            </w:r>
          </w:p>
        </w:tc>
        <w:tc>
          <w:tcPr>
            <w:tcW w:w="72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14:paraId="66E4B13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2.94</w:t>
            </w:r>
          </w:p>
        </w:tc>
        <w:tc>
          <w:tcPr>
            <w:tcW w:w="700" w:type="dxa"/>
            <w:tcBorders>
              <w:top w:val="nil"/>
              <w:left w:val="nil"/>
              <w:bottom w:val="single" w:sz="4" w:space="0" w:color="auto"/>
              <w:right w:val="single" w:sz="4" w:space="0" w:color="auto"/>
            </w:tcBorders>
            <w:shd w:val="clear" w:color="auto" w:fill="auto"/>
            <w:noWrap/>
            <w:vAlign w:val="bottom"/>
            <w:hideMark/>
          </w:tcPr>
          <w:p w14:paraId="6E6F09D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63</w:t>
            </w:r>
          </w:p>
        </w:tc>
        <w:tc>
          <w:tcPr>
            <w:tcW w:w="600" w:type="dxa"/>
            <w:tcBorders>
              <w:top w:val="nil"/>
              <w:left w:val="nil"/>
              <w:bottom w:val="single" w:sz="4" w:space="0" w:color="auto"/>
              <w:right w:val="single" w:sz="4" w:space="0" w:color="auto"/>
            </w:tcBorders>
            <w:shd w:val="clear" w:color="auto" w:fill="auto"/>
            <w:noWrap/>
            <w:vAlign w:val="bottom"/>
            <w:hideMark/>
          </w:tcPr>
          <w:p w14:paraId="34D9FAF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14:paraId="297D987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w:t>
            </w:r>
          </w:p>
        </w:tc>
        <w:tc>
          <w:tcPr>
            <w:tcW w:w="660" w:type="dxa"/>
            <w:tcBorders>
              <w:top w:val="nil"/>
              <w:left w:val="nil"/>
              <w:bottom w:val="single" w:sz="4" w:space="0" w:color="auto"/>
              <w:right w:val="single" w:sz="4" w:space="0" w:color="auto"/>
            </w:tcBorders>
            <w:shd w:val="clear" w:color="auto" w:fill="auto"/>
            <w:noWrap/>
            <w:vAlign w:val="bottom"/>
            <w:hideMark/>
          </w:tcPr>
          <w:p w14:paraId="524FED8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w:t>
            </w:r>
          </w:p>
        </w:tc>
        <w:tc>
          <w:tcPr>
            <w:tcW w:w="640" w:type="dxa"/>
            <w:tcBorders>
              <w:top w:val="nil"/>
              <w:left w:val="nil"/>
              <w:bottom w:val="single" w:sz="4" w:space="0" w:color="auto"/>
              <w:right w:val="single" w:sz="4" w:space="0" w:color="auto"/>
            </w:tcBorders>
            <w:shd w:val="clear" w:color="auto" w:fill="auto"/>
            <w:noWrap/>
            <w:vAlign w:val="bottom"/>
            <w:hideMark/>
          </w:tcPr>
          <w:p w14:paraId="5F58CA2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40" w:type="dxa"/>
            <w:tcBorders>
              <w:top w:val="nil"/>
              <w:left w:val="nil"/>
              <w:bottom w:val="single" w:sz="4" w:space="0" w:color="auto"/>
              <w:right w:val="single" w:sz="4" w:space="0" w:color="auto"/>
            </w:tcBorders>
            <w:shd w:val="clear" w:color="auto" w:fill="auto"/>
            <w:noWrap/>
            <w:vAlign w:val="bottom"/>
            <w:hideMark/>
          </w:tcPr>
          <w:p w14:paraId="6C513AF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14:paraId="0351453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5FDA380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r>
      <w:tr w:rsidR="00D666B5" w:rsidRPr="00902009" w14:paraId="36203F24"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4D816F6"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Bridgeport</w:t>
            </w:r>
          </w:p>
        </w:tc>
        <w:tc>
          <w:tcPr>
            <w:tcW w:w="700" w:type="dxa"/>
            <w:tcBorders>
              <w:top w:val="single" w:sz="4" w:space="0" w:color="auto"/>
              <w:left w:val="single" w:sz="4" w:space="0" w:color="auto"/>
              <w:bottom w:val="single" w:sz="4" w:space="0" w:color="auto"/>
              <w:right w:val="single" w:sz="4" w:space="0" w:color="auto"/>
            </w:tcBorders>
            <w:shd w:val="clear" w:color="000000" w:fill="D9E494"/>
            <w:noWrap/>
            <w:vAlign w:val="bottom"/>
            <w:hideMark/>
          </w:tcPr>
          <w:p w14:paraId="00F5AE0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2.18</w:t>
            </w:r>
          </w:p>
        </w:tc>
        <w:tc>
          <w:tcPr>
            <w:tcW w:w="720" w:type="dxa"/>
            <w:tcBorders>
              <w:top w:val="single" w:sz="4" w:space="0" w:color="auto"/>
              <w:left w:val="single" w:sz="4" w:space="0" w:color="auto"/>
              <w:bottom w:val="single" w:sz="4" w:space="0" w:color="auto"/>
              <w:right w:val="single" w:sz="4" w:space="0" w:color="auto"/>
            </w:tcBorders>
            <w:shd w:val="clear" w:color="000000" w:fill="B7D98D"/>
            <w:noWrap/>
            <w:vAlign w:val="bottom"/>
            <w:hideMark/>
          </w:tcPr>
          <w:p w14:paraId="6C21905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2.83</w:t>
            </w:r>
          </w:p>
        </w:tc>
        <w:tc>
          <w:tcPr>
            <w:tcW w:w="700" w:type="dxa"/>
            <w:tcBorders>
              <w:top w:val="nil"/>
              <w:left w:val="nil"/>
              <w:bottom w:val="single" w:sz="4" w:space="0" w:color="auto"/>
              <w:right w:val="single" w:sz="4" w:space="0" w:color="auto"/>
            </w:tcBorders>
            <w:shd w:val="clear" w:color="auto" w:fill="auto"/>
            <w:noWrap/>
            <w:vAlign w:val="bottom"/>
            <w:hideMark/>
          </w:tcPr>
          <w:p w14:paraId="5EAB3EF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257</w:t>
            </w:r>
          </w:p>
        </w:tc>
        <w:tc>
          <w:tcPr>
            <w:tcW w:w="600" w:type="dxa"/>
            <w:tcBorders>
              <w:top w:val="nil"/>
              <w:left w:val="nil"/>
              <w:bottom w:val="single" w:sz="4" w:space="0" w:color="auto"/>
              <w:right w:val="single" w:sz="4" w:space="0" w:color="auto"/>
            </w:tcBorders>
            <w:shd w:val="clear" w:color="auto" w:fill="auto"/>
            <w:noWrap/>
            <w:vAlign w:val="bottom"/>
            <w:hideMark/>
          </w:tcPr>
          <w:p w14:paraId="6A9C25C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88</w:t>
            </w:r>
          </w:p>
        </w:tc>
        <w:tc>
          <w:tcPr>
            <w:tcW w:w="640" w:type="dxa"/>
            <w:tcBorders>
              <w:top w:val="nil"/>
              <w:left w:val="nil"/>
              <w:bottom w:val="single" w:sz="4" w:space="0" w:color="auto"/>
              <w:right w:val="single" w:sz="4" w:space="0" w:color="auto"/>
            </w:tcBorders>
            <w:shd w:val="clear" w:color="auto" w:fill="auto"/>
            <w:noWrap/>
            <w:vAlign w:val="bottom"/>
            <w:hideMark/>
          </w:tcPr>
          <w:p w14:paraId="03625A8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97</w:t>
            </w:r>
          </w:p>
        </w:tc>
        <w:tc>
          <w:tcPr>
            <w:tcW w:w="660" w:type="dxa"/>
            <w:tcBorders>
              <w:top w:val="nil"/>
              <w:left w:val="nil"/>
              <w:bottom w:val="single" w:sz="4" w:space="0" w:color="auto"/>
              <w:right w:val="single" w:sz="4" w:space="0" w:color="auto"/>
            </w:tcBorders>
            <w:shd w:val="clear" w:color="auto" w:fill="auto"/>
            <w:noWrap/>
            <w:vAlign w:val="bottom"/>
            <w:hideMark/>
          </w:tcPr>
          <w:p w14:paraId="6F36A91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37</w:t>
            </w:r>
          </w:p>
        </w:tc>
        <w:tc>
          <w:tcPr>
            <w:tcW w:w="640" w:type="dxa"/>
            <w:tcBorders>
              <w:top w:val="nil"/>
              <w:left w:val="nil"/>
              <w:bottom w:val="single" w:sz="4" w:space="0" w:color="auto"/>
              <w:right w:val="single" w:sz="4" w:space="0" w:color="auto"/>
            </w:tcBorders>
            <w:shd w:val="clear" w:color="auto" w:fill="auto"/>
            <w:noWrap/>
            <w:vAlign w:val="bottom"/>
            <w:hideMark/>
          </w:tcPr>
          <w:p w14:paraId="1F024B0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40" w:type="dxa"/>
            <w:tcBorders>
              <w:top w:val="nil"/>
              <w:left w:val="nil"/>
              <w:bottom w:val="single" w:sz="4" w:space="0" w:color="auto"/>
              <w:right w:val="single" w:sz="4" w:space="0" w:color="auto"/>
            </w:tcBorders>
            <w:shd w:val="clear" w:color="auto" w:fill="auto"/>
            <w:noWrap/>
            <w:vAlign w:val="bottom"/>
            <w:hideMark/>
          </w:tcPr>
          <w:p w14:paraId="3604F35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w:t>
            </w:r>
          </w:p>
        </w:tc>
        <w:tc>
          <w:tcPr>
            <w:tcW w:w="560" w:type="dxa"/>
            <w:tcBorders>
              <w:top w:val="nil"/>
              <w:left w:val="nil"/>
              <w:bottom w:val="single" w:sz="4" w:space="0" w:color="auto"/>
              <w:right w:val="single" w:sz="4" w:space="0" w:color="auto"/>
            </w:tcBorders>
            <w:shd w:val="clear" w:color="auto" w:fill="auto"/>
            <w:noWrap/>
            <w:vAlign w:val="bottom"/>
            <w:hideMark/>
          </w:tcPr>
          <w:p w14:paraId="76F7C8A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14:paraId="1AD9F1D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r>
      <w:tr w:rsidR="00D666B5" w:rsidRPr="00902009" w14:paraId="29F0DEE2"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E232717"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Walker</w:t>
            </w:r>
          </w:p>
        </w:tc>
        <w:tc>
          <w:tcPr>
            <w:tcW w:w="700" w:type="dxa"/>
            <w:tcBorders>
              <w:top w:val="single" w:sz="4" w:space="0" w:color="auto"/>
              <w:left w:val="single" w:sz="4" w:space="0" w:color="auto"/>
              <w:bottom w:val="single" w:sz="4" w:space="0" w:color="auto"/>
              <w:right w:val="single" w:sz="4" w:space="0" w:color="auto"/>
            </w:tcBorders>
            <w:shd w:val="clear" w:color="000000" w:fill="DEE595"/>
            <w:noWrap/>
            <w:vAlign w:val="bottom"/>
            <w:hideMark/>
          </w:tcPr>
          <w:p w14:paraId="759F5D1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2.15</w:t>
            </w:r>
          </w:p>
        </w:tc>
        <w:tc>
          <w:tcPr>
            <w:tcW w:w="720" w:type="dxa"/>
            <w:tcBorders>
              <w:top w:val="single" w:sz="4" w:space="0" w:color="auto"/>
              <w:left w:val="single" w:sz="4" w:space="0" w:color="auto"/>
              <w:bottom w:val="single" w:sz="4" w:space="0" w:color="auto"/>
              <w:right w:val="single" w:sz="4" w:space="0" w:color="auto"/>
            </w:tcBorders>
            <w:shd w:val="clear" w:color="000000" w:fill="E4E797"/>
            <w:noWrap/>
            <w:vAlign w:val="bottom"/>
            <w:hideMark/>
          </w:tcPr>
          <w:p w14:paraId="7DC437D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2.61</w:t>
            </w:r>
          </w:p>
        </w:tc>
        <w:tc>
          <w:tcPr>
            <w:tcW w:w="700" w:type="dxa"/>
            <w:tcBorders>
              <w:top w:val="nil"/>
              <w:left w:val="nil"/>
              <w:bottom w:val="single" w:sz="4" w:space="0" w:color="auto"/>
              <w:right w:val="single" w:sz="4" w:space="0" w:color="auto"/>
            </w:tcBorders>
            <w:shd w:val="clear" w:color="auto" w:fill="auto"/>
            <w:noWrap/>
            <w:vAlign w:val="bottom"/>
            <w:hideMark/>
          </w:tcPr>
          <w:p w14:paraId="6B9F1B5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335</w:t>
            </w:r>
          </w:p>
        </w:tc>
        <w:tc>
          <w:tcPr>
            <w:tcW w:w="600" w:type="dxa"/>
            <w:tcBorders>
              <w:top w:val="nil"/>
              <w:left w:val="nil"/>
              <w:bottom w:val="single" w:sz="4" w:space="0" w:color="auto"/>
              <w:right w:val="single" w:sz="4" w:space="0" w:color="auto"/>
            </w:tcBorders>
            <w:shd w:val="clear" w:color="auto" w:fill="auto"/>
            <w:noWrap/>
            <w:vAlign w:val="bottom"/>
            <w:hideMark/>
          </w:tcPr>
          <w:p w14:paraId="51E858D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101</w:t>
            </w:r>
          </w:p>
        </w:tc>
        <w:tc>
          <w:tcPr>
            <w:tcW w:w="640" w:type="dxa"/>
            <w:tcBorders>
              <w:top w:val="nil"/>
              <w:left w:val="nil"/>
              <w:bottom w:val="single" w:sz="4" w:space="0" w:color="auto"/>
              <w:right w:val="single" w:sz="4" w:space="0" w:color="auto"/>
            </w:tcBorders>
            <w:shd w:val="clear" w:color="auto" w:fill="auto"/>
            <w:noWrap/>
            <w:vAlign w:val="bottom"/>
            <w:hideMark/>
          </w:tcPr>
          <w:p w14:paraId="59A4ABD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149</w:t>
            </w:r>
          </w:p>
        </w:tc>
        <w:tc>
          <w:tcPr>
            <w:tcW w:w="660" w:type="dxa"/>
            <w:tcBorders>
              <w:top w:val="nil"/>
              <w:left w:val="nil"/>
              <w:bottom w:val="single" w:sz="4" w:space="0" w:color="auto"/>
              <w:right w:val="single" w:sz="4" w:space="0" w:color="auto"/>
            </w:tcBorders>
            <w:shd w:val="clear" w:color="auto" w:fill="auto"/>
            <w:noWrap/>
            <w:vAlign w:val="bottom"/>
            <w:hideMark/>
          </w:tcPr>
          <w:p w14:paraId="1D60FD0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44</w:t>
            </w:r>
          </w:p>
        </w:tc>
        <w:tc>
          <w:tcPr>
            <w:tcW w:w="640" w:type="dxa"/>
            <w:tcBorders>
              <w:top w:val="nil"/>
              <w:left w:val="nil"/>
              <w:bottom w:val="single" w:sz="4" w:space="0" w:color="auto"/>
              <w:right w:val="single" w:sz="4" w:space="0" w:color="auto"/>
            </w:tcBorders>
            <w:shd w:val="clear" w:color="auto" w:fill="auto"/>
            <w:noWrap/>
            <w:vAlign w:val="bottom"/>
            <w:hideMark/>
          </w:tcPr>
          <w:p w14:paraId="2CD77F3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640" w:type="dxa"/>
            <w:tcBorders>
              <w:top w:val="nil"/>
              <w:left w:val="nil"/>
              <w:bottom w:val="single" w:sz="4" w:space="0" w:color="auto"/>
              <w:right w:val="single" w:sz="4" w:space="0" w:color="auto"/>
            </w:tcBorders>
            <w:shd w:val="clear" w:color="auto" w:fill="auto"/>
            <w:noWrap/>
            <w:vAlign w:val="bottom"/>
            <w:hideMark/>
          </w:tcPr>
          <w:p w14:paraId="6237FEA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560" w:type="dxa"/>
            <w:tcBorders>
              <w:top w:val="nil"/>
              <w:left w:val="nil"/>
              <w:bottom w:val="single" w:sz="4" w:space="0" w:color="auto"/>
              <w:right w:val="single" w:sz="4" w:space="0" w:color="auto"/>
            </w:tcBorders>
            <w:shd w:val="clear" w:color="auto" w:fill="auto"/>
            <w:noWrap/>
            <w:vAlign w:val="bottom"/>
            <w:hideMark/>
          </w:tcPr>
          <w:p w14:paraId="193123D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0D379F8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w:t>
            </w:r>
          </w:p>
        </w:tc>
      </w:tr>
      <w:tr w:rsidR="00D666B5" w:rsidRPr="00902009" w14:paraId="5813BFA2"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8A344D8"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Coleville</w:t>
            </w:r>
          </w:p>
        </w:tc>
        <w:tc>
          <w:tcPr>
            <w:tcW w:w="7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A94C38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2.89</w:t>
            </w:r>
          </w:p>
        </w:tc>
        <w:tc>
          <w:tcPr>
            <w:tcW w:w="720" w:type="dxa"/>
            <w:tcBorders>
              <w:top w:val="single" w:sz="4" w:space="0" w:color="auto"/>
              <w:left w:val="single" w:sz="4" w:space="0" w:color="auto"/>
              <w:bottom w:val="single" w:sz="4" w:space="0" w:color="auto"/>
              <w:right w:val="single" w:sz="4" w:space="0" w:color="auto"/>
            </w:tcBorders>
            <w:shd w:val="clear" w:color="000000" w:fill="67C07C"/>
            <w:noWrap/>
            <w:vAlign w:val="bottom"/>
            <w:hideMark/>
          </w:tcPr>
          <w:p w14:paraId="481EAAB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3.23</w:t>
            </w:r>
          </w:p>
        </w:tc>
        <w:tc>
          <w:tcPr>
            <w:tcW w:w="700" w:type="dxa"/>
            <w:tcBorders>
              <w:top w:val="nil"/>
              <w:left w:val="nil"/>
              <w:bottom w:val="single" w:sz="4" w:space="0" w:color="auto"/>
              <w:right w:val="single" w:sz="4" w:space="0" w:color="auto"/>
            </w:tcBorders>
            <w:shd w:val="clear" w:color="auto" w:fill="auto"/>
            <w:noWrap/>
            <w:vAlign w:val="bottom"/>
            <w:hideMark/>
          </w:tcPr>
          <w:p w14:paraId="5B88656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171</w:t>
            </w:r>
          </w:p>
        </w:tc>
        <w:tc>
          <w:tcPr>
            <w:tcW w:w="600" w:type="dxa"/>
            <w:tcBorders>
              <w:top w:val="nil"/>
              <w:left w:val="nil"/>
              <w:bottom w:val="single" w:sz="4" w:space="0" w:color="auto"/>
              <w:right w:val="single" w:sz="4" w:space="0" w:color="auto"/>
            </w:tcBorders>
            <w:shd w:val="clear" w:color="auto" w:fill="auto"/>
            <w:noWrap/>
            <w:vAlign w:val="bottom"/>
            <w:hideMark/>
          </w:tcPr>
          <w:p w14:paraId="1AA622D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640" w:type="dxa"/>
            <w:tcBorders>
              <w:top w:val="nil"/>
              <w:left w:val="nil"/>
              <w:bottom w:val="single" w:sz="4" w:space="0" w:color="auto"/>
              <w:right w:val="single" w:sz="4" w:space="0" w:color="auto"/>
            </w:tcBorders>
            <w:shd w:val="clear" w:color="auto" w:fill="auto"/>
            <w:noWrap/>
            <w:vAlign w:val="bottom"/>
            <w:hideMark/>
          </w:tcPr>
          <w:p w14:paraId="72935B7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53</w:t>
            </w:r>
          </w:p>
        </w:tc>
        <w:tc>
          <w:tcPr>
            <w:tcW w:w="660" w:type="dxa"/>
            <w:tcBorders>
              <w:top w:val="nil"/>
              <w:left w:val="nil"/>
              <w:bottom w:val="single" w:sz="4" w:space="0" w:color="auto"/>
              <w:right w:val="single" w:sz="4" w:space="0" w:color="auto"/>
            </w:tcBorders>
            <w:shd w:val="clear" w:color="auto" w:fill="auto"/>
            <w:noWrap/>
            <w:vAlign w:val="bottom"/>
            <w:hideMark/>
          </w:tcPr>
          <w:p w14:paraId="1A28910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35</w:t>
            </w:r>
          </w:p>
        </w:tc>
        <w:tc>
          <w:tcPr>
            <w:tcW w:w="640" w:type="dxa"/>
            <w:tcBorders>
              <w:top w:val="nil"/>
              <w:left w:val="nil"/>
              <w:bottom w:val="single" w:sz="4" w:space="0" w:color="auto"/>
              <w:right w:val="single" w:sz="4" w:space="0" w:color="auto"/>
            </w:tcBorders>
            <w:shd w:val="clear" w:color="auto" w:fill="auto"/>
            <w:noWrap/>
            <w:vAlign w:val="bottom"/>
            <w:hideMark/>
          </w:tcPr>
          <w:p w14:paraId="2150F81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36</w:t>
            </w:r>
          </w:p>
        </w:tc>
        <w:tc>
          <w:tcPr>
            <w:tcW w:w="640" w:type="dxa"/>
            <w:tcBorders>
              <w:top w:val="nil"/>
              <w:left w:val="nil"/>
              <w:bottom w:val="single" w:sz="4" w:space="0" w:color="auto"/>
              <w:right w:val="single" w:sz="4" w:space="0" w:color="auto"/>
            </w:tcBorders>
            <w:shd w:val="clear" w:color="auto" w:fill="auto"/>
            <w:noWrap/>
            <w:vAlign w:val="bottom"/>
            <w:hideMark/>
          </w:tcPr>
          <w:p w14:paraId="3A4A3A7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560" w:type="dxa"/>
            <w:tcBorders>
              <w:top w:val="nil"/>
              <w:left w:val="nil"/>
              <w:bottom w:val="single" w:sz="4" w:space="0" w:color="auto"/>
              <w:right w:val="single" w:sz="4" w:space="0" w:color="auto"/>
            </w:tcBorders>
            <w:shd w:val="clear" w:color="auto" w:fill="auto"/>
            <w:noWrap/>
            <w:vAlign w:val="bottom"/>
            <w:hideMark/>
          </w:tcPr>
          <w:p w14:paraId="4CB18BD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524FBD0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w:t>
            </w:r>
          </w:p>
        </w:tc>
      </w:tr>
      <w:tr w:rsidR="00D666B5" w:rsidRPr="00902009" w14:paraId="304AE1FC"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8ABA0FE"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Topaz</w:t>
            </w:r>
          </w:p>
        </w:tc>
        <w:tc>
          <w:tcPr>
            <w:tcW w:w="700" w:type="dxa"/>
            <w:tcBorders>
              <w:top w:val="single" w:sz="4" w:space="0" w:color="auto"/>
              <w:left w:val="single" w:sz="4" w:space="0" w:color="auto"/>
              <w:bottom w:val="single" w:sz="4" w:space="0" w:color="auto"/>
              <w:right w:val="single" w:sz="4" w:space="0" w:color="auto"/>
            </w:tcBorders>
            <w:shd w:val="clear" w:color="000000" w:fill="B8D98D"/>
            <w:noWrap/>
            <w:vAlign w:val="bottom"/>
            <w:hideMark/>
          </w:tcPr>
          <w:p w14:paraId="3B4BDC6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2.38</w:t>
            </w:r>
          </w:p>
        </w:tc>
        <w:tc>
          <w:tcPr>
            <w:tcW w:w="720" w:type="dxa"/>
            <w:tcBorders>
              <w:top w:val="single" w:sz="4" w:space="0" w:color="auto"/>
              <w:left w:val="single" w:sz="4" w:space="0" w:color="auto"/>
              <w:bottom w:val="single" w:sz="4" w:space="0" w:color="auto"/>
              <w:right w:val="single" w:sz="4" w:space="0" w:color="auto"/>
            </w:tcBorders>
            <w:shd w:val="clear" w:color="000000" w:fill="85C983"/>
            <w:noWrap/>
            <w:vAlign w:val="bottom"/>
            <w:hideMark/>
          </w:tcPr>
          <w:p w14:paraId="68535B1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3.08</w:t>
            </w:r>
          </w:p>
        </w:tc>
        <w:tc>
          <w:tcPr>
            <w:tcW w:w="700" w:type="dxa"/>
            <w:tcBorders>
              <w:top w:val="nil"/>
              <w:left w:val="nil"/>
              <w:bottom w:val="single" w:sz="4" w:space="0" w:color="auto"/>
              <w:right w:val="single" w:sz="4" w:space="0" w:color="auto"/>
            </w:tcBorders>
            <w:shd w:val="clear" w:color="auto" w:fill="auto"/>
            <w:noWrap/>
            <w:vAlign w:val="bottom"/>
            <w:hideMark/>
          </w:tcPr>
          <w:p w14:paraId="60DA955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00" w:type="dxa"/>
            <w:tcBorders>
              <w:top w:val="nil"/>
              <w:left w:val="nil"/>
              <w:bottom w:val="single" w:sz="4" w:space="0" w:color="auto"/>
              <w:right w:val="single" w:sz="4" w:space="0" w:color="auto"/>
            </w:tcBorders>
            <w:shd w:val="clear" w:color="auto" w:fill="auto"/>
            <w:noWrap/>
            <w:vAlign w:val="bottom"/>
            <w:hideMark/>
          </w:tcPr>
          <w:p w14:paraId="3C9FFA7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40" w:type="dxa"/>
            <w:tcBorders>
              <w:top w:val="nil"/>
              <w:left w:val="nil"/>
              <w:bottom w:val="single" w:sz="4" w:space="0" w:color="auto"/>
              <w:right w:val="single" w:sz="4" w:space="0" w:color="auto"/>
            </w:tcBorders>
            <w:shd w:val="clear" w:color="auto" w:fill="auto"/>
            <w:noWrap/>
            <w:vAlign w:val="bottom"/>
            <w:hideMark/>
          </w:tcPr>
          <w:p w14:paraId="60590C4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60" w:type="dxa"/>
            <w:tcBorders>
              <w:top w:val="nil"/>
              <w:left w:val="nil"/>
              <w:bottom w:val="single" w:sz="4" w:space="0" w:color="auto"/>
              <w:right w:val="single" w:sz="4" w:space="0" w:color="auto"/>
            </w:tcBorders>
            <w:shd w:val="clear" w:color="auto" w:fill="auto"/>
            <w:noWrap/>
            <w:vAlign w:val="bottom"/>
            <w:hideMark/>
          </w:tcPr>
          <w:p w14:paraId="533930E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5416B6D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0671E9B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14:paraId="5B1F07F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508242D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14:paraId="1649340A"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3CC5D02"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1218F51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628015C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66D04EA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14:paraId="6065606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2C317C6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017D915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493CC8D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3BF18F9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14:paraId="3D1F3F1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14:paraId="72C54DD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447864DA"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15E16D0"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Total of CDPs</w:t>
            </w:r>
          </w:p>
        </w:tc>
        <w:tc>
          <w:tcPr>
            <w:tcW w:w="700" w:type="dxa"/>
            <w:tcBorders>
              <w:top w:val="nil"/>
              <w:left w:val="nil"/>
              <w:bottom w:val="single" w:sz="4" w:space="0" w:color="auto"/>
              <w:right w:val="single" w:sz="4" w:space="0" w:color="auto"/>
            </w:tcBorders>
            <w:shd w:val="clear" w:color="auto" w:fill="auto"/>
            <w:noWrap/>
            <w:vAlign w:val="bottom"/>
            <w:hideMark/>
          </w:tcPr>
          <w:p w14:paraId="619DDF5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008EB64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7DF44E5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2278</w:t>
            </w:r>
          </w:p>
        </w:tc>
        <w:tc>
          <w:tcPr>
            <w:tcW w:w="600" w:type="dxa"/>
            <w:tcBorders>
              <w:top w:val="nil"/>
              <w:left w:val="nil"/>
              <w:bottom w:val="single" w:sz="4" w:space="0" w:color="auto"/>
              <w:right w:val="single" w:sz="4" w:space="0" w:color="auto"/>
            </w:tcBorders>
            <w:shd w:val="clear" w:color="auto" w:fill="auto"/>
            <w:noWrap/>
            <w:vAlign w:val="bottom"/>
            <w:hideMark/>
          </w:tcPr>
          <w:p w14:paraId="206E131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625</w:t>
            </w:r>
          </w:p>
        </w:tc>
        <w:tc>
          <w:tcPr>
            <w:tcW w:w="640" w:type="dxa"/>
            <w:tcBorders>
              <w:top w:val="nil"/>
              <w:left w:val="nil"/>
              <w:bottom w:val="single" w:sz="4" w:space="0" w:color="auto"/>
              <w:right w:val="single" w:sz="4" w:space="0" w:color="auto"/>
            </w:tcBorders>
            <w:shd w:val="clear" w:color="auto" w:fill="auto"/>
            <w:noWrap/>
            <w:vAlign w:val="bottom"/>
            <w:hideMark/>
          </w:tcPr>
          <w:p w14:paraId="39DEE9E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915</w:t>
            </w:r>
          </w:p>
        </w:tc>
        <w:tc>
          <w:tcPr>
            <w:tcW w:w="660" w:type="dxa"/>
            <w:tcBorders>
              <w:top w:val="nil"/>
              <w:left w:val="nil"/>
              <w:bottom w:val="single" w:sz="4" w:space="0" w:color="auto"/>
              <w:right w:val="single" w:sz="4" w:space="0" w:color="auto"/>
            </w:tcBorders>
            <w:shd w:val="clear" w:color="auto" w:fill="auto"/>
            <w:noWrap/>
            <w:vAlign w:val="bottom"/>
            <w:hideMark/>
          </w:tcPr>
          <w:p w14:paraId="37C0955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343</w:t>
            </w:r>
          </w:p>
        </w:tc>
        <w:tc>
          <w:tcPr>
            <w:tcW w:w="640" w:type="dxa"/>
            <w:tcBorders>
              <w:top w:val="nil"/>
              <w:left w:val="nil"/>
              <w:bottom w:val="single" w:sz="4" w:space="0" w:color="auto"/>
              <w:right w:val="single" w:sz="4" w:space="0" w:color="auto"/>
            </w:tcBorders>
            <w:shd w:val="clear" w:color="auto" w:fill="auto"/>
            <w:noWrap/>
            <w:vAlign w:val="bottom"/>
            <w:hideMark/>
          </w:tcPr>
          <w:p w14:paraId="722D200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242</w:t>
            </w:r>
          </w:p>
        </w:tc>
        <w:tc>
          <w:tcPr>
            <w:tcW w:w="640" w:type="dxa"/>
            <w:tcBorders>
              <w:top w:val="nil"/>
              <w:left w:val="nil"/>
              <w:bottom w:val="single" w:sz="4" w:space="0" w:color="auto"/>
              <w:right w:val="single" w:sz="4" w:space="0" w:color="auto"/>
            </w:tcBorders>
            <w:shd w:val="clear" w:color="auto" w:fill="auto"/>
            <w:noWrap/>
            <w:vAlign w:val="bottom"/>
            <w:hideMark/>
          </w:tcPr>
          <w:p w14:paraId="4833E54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100</w:t>
            </w:r>
          </w:p>
        </w:tc>
        <w:tc>
          <w:tcPr>
            <w:tcW w:w="560" w:type="dxa"/>
            <w:tcBorders>
              <w:top w:val="nil"/>
              <w:left w:val="nil"/>
              <w:bottom w:val="single" w:sz="4" w:space="0" w:color="auto"/>
              <w:right w:val="single" w:sz="4" w:space="0" w:color="auto"/>
            </w:tcBorders>
            <w:shd w:val="clear" w:color="auto" w:fill="auto"/>
            <w:noWrap/>
            <w:vAlign w:val="bottom"/>
            <w:hideMark/>
          </w:tcPr>
          <w:p w14:paraId="09EF71C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34</w:t>
            </w:r>
          </w:p>
        </w:tc>
        <w:tc>
          <w:tcPr>
            <w:tcW w:w="620" w:type="dxa"/>
            <w:tcBorders>
              <w:top w:val="nil"/>
              <w:left w:val="nil"/>
              <w:bottom w:val="single" w:sz="4" w:space="0" w:color="auto"/>
              <w:right w:val="single" w:sz="4" w:space="0" w:color="auto"/>
            </w:tcBorders>
            <w:shd w:val="clear" w:color="auto" w:fill="auto"/>
            <w:noWrap/>
            <w:vAlign w:val="bottom"/>
            <w:hideMark/>
          </w:tcPr>
          <w:p w14:paraId="41ED378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19</w:t>
            </w:r>
          </w:p>
        </w:tc>
      </w:tr>
      <w:tr w:rsidR="00D666B5" w:rsidRPr="00902009" w14:paraId="42078B7E"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9C1D01E"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7B59EF5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443F60F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4E7738C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14:paraId="4ECAC0E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5356384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2DB8D82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27490F0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38D28EF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14:paraId="00C319C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14:paraId="57C1D4A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0949B53A"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67F4601"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CDPs + Town</w:t>
            </w:r>
          </w:p>
        </w:tc>
        <w:tc>
          <w:tcPr>
            <w:tcW w:w="700" w:type="dxa"/>
            <w:tcBorders>
              <w:top w:val="nil"/>
              <w:left w:val="nil"/>
              <w:bottom w:val="single" w:sz="4" w:space="0" w:color="auto"/>
              <w:right w:val="single" w:sz="4" w:space="0" w:color="auto"/>
            </w:tcBorders>
            <w:shd w:val="clear" w:color="auto" w:fill="auto"/>
            <w:noWrap/>
            <w:vAlign w:val="bottom"/>
            <w:hideMark/>
          </w:tcPr>
          <w:p w14:paraId="4BAD570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3F15A8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6D2AA77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5507</w:t>
            </w:r>
          </w:p>
        </w:tc>
        <w:tc>
          <w:tcPr>
            <w:tcW w:w="600" w:type="dxa"/>
            <w:tcBorders>
              <w:top w:val="nil"/>
              <w:left w:val="nil"/>
              <w:bottom w:val="single" w:sz="4" w:space="0" w:color="auto"/>
              <w:right w:val="single" w:sz="4" w:space="0" w:color="auto"/>
            </w:tcBorders>
            <w:shd w:val="clear" w:color="auto" w:fill="auto"/>
            <w:noWrap/>
            <w:vAlign w:val="bottom"/>
            <w:hideMark/>
          </w:tcPr>
          <w:p w14:paraId="186833F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1524</w:t>
            </w:r>
          </w:p>
        </w:tc>
        <w:tc>
          <w:tcPr>
            <w:tcW w:w="640" w:type="dxa"/>
            <w:tcBorders>
              <w:top w:val="nil"/>
              <w:left w:val="nil"/>
              <w:bottom w:val="single" w:sz="4" w:space="0" w:color="auto"/>
              <w:right w:val="single" w:sz="4" w:space="0" w:color="auto"/>
            </w:tcBorders>
            <w:shd w:val="clear" w:color="auto" w:fill="auto"/>
            <w:noWrap/>
            <w:vAlign w:val="bottom"/>
            <w:hideMark/>
          </w:tcPr>
          <w:p w14:paraId="709E3E3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2060</w:t>
            </w:r>
          </w:p>
        </w:tc>
        <w:tc>
          <w:tcPr>
            <w:tcW w:w="660" w:type="dxa"/>
            <w:tcBorders>
              <w:top w:val="nil"/>
              <w:left w:val="nil"/>
              <w:bottom w:val="single" w:sz="4" w:space="0" w:color="auto"/>
              <w:right w:val="single" w:sz="4" w:space="0" w:color="auto"/>
            </w:tcBorders>
            <w:shd w:val="clear" w:color="auto" w:fill="auto"/>
            <w:noWrap/>
            <w:vAlign w:val="bottom"/>
            <w:hideMark/>
          </w:tcPr>
          <w:p w14:paraId="01C548E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807</w:t>
            </w:r>
          </w:p>
        </w:tc>
        <w:tc>
          <w:tcPr>
            <w:tcW w:w="640" w:type="dxa"/>
            <w:tcBorders>
              <w:top w:val="nil"/>
              <w:left w:val="nil"/>
              <w:bottom w:val="single" w:sz="4" w:space="0" w:color="auto"/>
              <w:right w:val="single" w:sz="4" w:space="0" w:color="auto"/>
            </w:tcBorders>
            <w:shd w:val="clear" w:color="auto" w:fill="auto"/>
            <w:noWrap/>
            <w:vAlign w:val="bottom"/>
            <w:hideMark/>
          </w:tcPr>
          <w:p w14:paraId="088B85A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634</w:t>
            </w:r>
          </w:p>
        </w:tc>
        <w:tc>
          <w:tcPr>
            <w:tcW w:w="640" w:type="dxa"/>
            <w:tcBorders>
              <w:top w:val="nil"/>
              <w:left w:val="nil"/>
              <w:bottom w:val="single" w:sz="4" w:space="0" w:color="auto"/>
              <w:right w:val="single" w:sz="4" w:space="0" w:color="auto"/>
            </w:tcBorders>
            <w:shd w:val="clear" w:color="auto" w:fill="auto"/>
            <w:noWrap/>
            <w:vAlign w:val="bottom"/>
            <w:hideMark/>
          </w:tcPr>
          <w:p w14:paraId="6B929A6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280</w:t>
            </w:r>
          </w:p>
        </w:tc>
        <w:tc>
          <w:tcPr>
            <w:tcW w:w="560" w:type="dxa"/>
            <w:tcBorders>
              <w:top w:val="nil"/>
              <w:left w:val="nil"/>
              <w:bottom w:val="single" w:sz="4" w:space="0" w:color="auto"/>
              <w:right w:val="single" w:sz="4" w:space="0" w:color="auto"/>
            </w:tcBorders>
            <w:shd w:val="clear" w:color="auto" w:fill="auto"/>
            <w:noWrap/>
            <w:vAlign w:val="bottom"/>
            <w:hideMark/>
          </w:tcPr>
          <w:p w14:paraId="723955B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114</w:t>
            </w:r>
          </w:p>
        </w:tc>
        <w:tc>
          <w:tcPr>
            <w:tcW w:w="620" w:type="dxa"/>
            <w:tcBorders>
              <w:top w:val="nil"/>
              <w:left w:val="nil"/>
              <w:bottom w:val="single" w:sz="4" w:space="0" w:color="auto"/>
              <w:right w:val="single" w:sz="4" w:space="0" w:color="auto"/>
            </w:tcBorders>
            <w:shd w:val="clear" w:color="auto" w:fill="auto"/>
            <w:noWrap/>
            <w:vAlign w:val="bottom"/>
            <w:hideMark/>
          </w:tcPr>
          <w:p w14:paraId="1C9B34E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88</w:t>
            </w:r>
          </w:p>
        </w:tc>
      </w:tr>
      <w:tr w:rsidR="00D666B5" w:rsidRPr="00902009" w14:paraId="436C7A8C"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BBA18BB"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5D53B3A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6F1FA89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nil"/>
            </w:tcBorders>
            <w:shd w:val="clear" w:color="auto" w:fill="auto"/>
            <w:noWrap/>
            <w:vAlign w:val="bottom"/>
            <w:hideMark/>
          </w:tcPr>
          <w:p w14:paraId="2C92A48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00" w:type="dxa"/>
            <w:tcBorders>
              <w:top w:val="nil"/>
              <w:left w:val="nil"/>
              <w:bottom w:val="single" w:sz="4" w:space="0" w:color="auto"/>
              <w:right w:val="nil"/>
            </w:tcBorders>
            <w:shd w:val="clear" w:color="auto" w:fill="auto"/>
            <w:noWrap/>
            <w:vAlign w:val="bottom"/>
            <w:hideMark/>
          </w:tcPr>
          <w:p w14:paraId="10BED7F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046EE69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0" w:type="dxa"/>
            <w:tcBorders>
              <w:top w:val="nil"/>
              <w:left w:val="nil"/>
              <w:bottom w:val="single" w:sz="4" w:space="0" w:color="auto"/>
              <w:right w:val="nil"/>
            </w:tcBorders>
            <w:shd w:val="clear" w:color="auto" w:fill="auto"/>
            <w:noWrap/>
            <w:vAlign w:val="bottom"/>
            <w:hideMark/>
          </w:tcPr>
          <w:p w14:paraId="2D8FC3A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7F51D75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14:paraId="01BF70F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60" w:type="dxa"/>
            <w:tcBorders>
              <w:top w:val="nil"/>
              <w:left w:val="nil"/>
              <w:bottom w:val="single" w:sz="4" w:space="0" w:color="auto"/>
              <w:right w:val="nil"/>
            </w:tcBorders>
            <w:shd w:val="clear" w:color="auto" w:fill="auto"/>
            <w:noWrap/>
            <w:vAlign w:val="bottom"/>
            <w:hideMark/>
          </w:tcPr>
          <w:p w14:paraId="285C678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0" w:type="dxa"/>
            <w:tcBorders>
              <w:top w:val="nil"/>
              <w:left w:val="nil"/>
              <w:bottom w:val="single" w:sz="4" w:space="0" w:color="auto"/>
              <w:right w:val="nil"/>
            </w:tcBorders>
            <w:shd w:val="clear" w:color="auto" w:fill="auto"/>
            <w:noWrap/>
            <w:vAlign w:val="bottom"/>
            <w:hideMark/>
          </w:tcPr>
          <w:p w14:paraId="7BFD672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40CF32A4" w14:textId="77777777" w:rsidTr="00D666B5">
        <w:trPr>
          <w:trHeight w:val="30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3A62C18"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 - CDPs &amp; Town</w:t>
            </w:r>
          </w:p>
        </w:tc>
        <w:tc>
          <w:tcPr>
            <w:tcW w:w="700" w:type="dxa"/>
            <w:tcBorders>
              <w:top w:val="nil"/>
              <w:left w:val="nil"/>
              <w:bottom w:val="single" w:sz="4" w:space="0" w:color="auto"/>
              <w:right w:val="single" w:sz="4" w:space="0" w:color="auto"/>
            </w:tcBorders>
            <w:shd w:val="clear" w:color="auto" w:fill="auto"/>
            <w:noWrap/>
            <w:vAlign w:val="bottom"/>
            <w:hideMark/>
          </w:tcPr>
          <w:p w14:paraId="08F6696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035DE8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00" w:type="dxa"/>
            <w:tcBorders>
              <w:top w:val="nil"/>
              <w:left w:val="nil"/>
              <w:bottom w:val="single" w:sz="4" w:space="0" w:color="auto"/>
              <w:right w:val="single" w:sz="4" w:space="0" w:color="auto"/>
            </w:tcBorders>
            <w:shd w:val="clear" w:color="auto" w:fill="auto"/>
            <w:noWrap/>
            <w:vAlign w:val="bottom"/>
            <w:hideMark/>
          </w:tcPr>
          <w:p w14:paraId="5DA763B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261</w:t>
            </w:r>
          </w:p>
        </w:tc>
        <w:tc>
          <w:tcPr>
            <w:tcW w:w="600" w:type="dxa"/>
            <w:tcBorders>
              <w:top w:val="nil"/>
              <w:left w:val="nil"/>
              <w:bottom w:val="single" w:sz="4" w:space="0" w:color="auto"/>
              <w:right w:val="single" w:sz="4" w:space="0" w:color="auto"/>
            </w:tcBorders>
            <w:shd w:val="clear" w:color="auto" w:fill="auto"/>
            <w:noWrap/>
            <w:vAlign w:val="bottom"/>
            <w:hideMark/>
          </w:tcPr>
          <w:p w14:paraId="79A87E6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68</w:t>
            </w:r>
          </w:p>
        </w:tc>
        <w:tc>
          <w:tcPr>
            <w:tcW w:w="640" w:type="dxa"/>
            <w:tcBorders>
              <w:top w:val="nil"/>
              <w:left w:val="nil"/>
              <w:bottom w:val="single" w:sz="4" w:space="0" w:color="auto"/>
              <w:right w:val="single" w:sz="4" w:space="0" w:color="auto"/>
            </w:tcBorders>
            <w:shd w:val="clear" w:color="auto" w:fill="auto"/>
            <w:noWrap/>
            <w:vAlign w:val="bottom"/>
            <w:hideMark/>
          </w:tcPr>
          <w:p w14:paraId="50060DF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122</w:t>
            </w:r>
          </w:p>
        </w:tc>
        <w:tc>
          <w:tcPr>
            <w:tcW w:w="660" w:type="dxa"/>
            <w:tcBorders>
              <w:top w:val="nil"/>
              <w:left w:val="nil"/>
              <w:bottom w:val="single" w:sz="4" w:space="0" w:color="auto"/>
              <w:right w:val="single" w:sz="4" w:space="0" w:color="auto"/>
            </w:tcBorders>
            <w:shd w:val="clear" w:color="auto" w:fill="auto"/>
            <w:noWrap/>
            <w:vAlign w:val="bottom"/>
            <w:hideMark/>
          </w:tcPr>
          <w:p w14:paraId="13534B0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w:t>
            </w:r>
          </w:p>
        </w:tc>
        <w:tc>
          <w:tcPr>
            <w:tcW w:w="640" w:type="dxa"/>
            <w:tcBorders>
              <w:top w:val="nil"/>
              <w:left w:val="nil"/>
              <w:bottom w:val="single" w:sz="4" w:space="0" w:color="auto"/>
              <w:right w:val="single" w:sz="4" w:space="0" w:color="auto"/>
            </w:tcBorders>
            <w:shd w:val="clear" w:color="auto" w:fill="auto"/>
            <w:noWrap/>
            <w:vAlign w:val="bottom"/>
            <w:hideMark/>
          </w:tcPr>
          <w:p w14:paraId="7D70F94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w:t>
            </w:r>
          </w:p>
        </w:tc>
        <w:tc>
          <w:tcPr>
            <w:tcW w:w="640" w:type="dxa"/>
            <w:tcBorders>
              <w:top w:val="nil"/>
              <w:left w:val="nil"/>
              <w:bottom w:val="single" w:sz="4" w:space="0" w:color="auto"/>
              <w:right w:val="single" w:sz="4" w:space="0" w:color="auto"/>
            </w:tcBorders>
            <w:shd w:val="clear" w:color="auto" w:fill="auto"/>
            <w:noWrap/>
            <w:vAlign w:val="bottom"/>
            <w:hideMark/>
          </w:tcPr>
          <w:p w14:paraId="7218983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w:t>
            </w:r>
          </w:p>
        </w:tc>
        <w:tc>
          <w:tcPr>
            <w:tcW w:w="560" w:type="dxa"/>
            <w:tcBorders>
              <w:top w:val="nil"/>
              <w:left w:val="nil"/>
              <w:bottom w:val="single" w:sz="4" w:space="0" w:color="auto"/>
              <w:right w:val="single" w:sz="4" w:space="0" w:color="auto"/>
            </w:tcBorders>
            <w:shd w:val="clear" w:color="auto" w:fill="auto"/>
            <w:noWrap/>
            <w:vAlign w:val="bottom"/>
            <w:hideMark/>
          </w:tcPr>
          <w:p w14:paraId="3494A4C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20" w:type="dxa"/>
            <w:tcBorders>
              <w:top w:val="nil"/>
              <w:left w:val="nil"/>
              <w:bottom w:val="single" w:sz="4" w:space="0" w:color="auto"/>
              <w:right w:val="single" w:sz="4" w:space="0" w:color="auto"/>
            </w:tcBorders>
            <w:shd w:val="clear" w:color="auto" w:fill="auto"/>
            <w:noWrap/>
            <w:vAlign w:val="bottom"/>
            <w:hideMark/>
          </w:tcPr>
          <w:p w14:paraId="4582AA6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w:t>
            </w:r>
          </w:p>
        </w:tc>
      </w:tr>
    </w:tbl>
    <w:p w14:paraId="67D68A87" w14:textId="77777777" w:rsidR="00D666B5" w:rsidRPr="00902009" w:rsidRDefault="00D666B5" w:rsidP="00D666B5">
      <w:pPr>
        <w:spacing w:line="280" w:lineRule="atLeast"/>
        <w:ind w:right="80"/>
        <w:jc w:val="both"/>
      </w:pPr>
      <w:r w:rsidRPr="00902009">
        <w:t>Source: US Census 2010</w:t>
      </w:r>
    </w:p>
    <w:p w14:paraId="2C8D4BCA" w14:textId="77777777" w:rsidR="00517621" w:rsidRDefault="00517621" w:rsidP="00517621">
      <w:pPr>
        <w:spacing w:after="0" w:line="280" w:lineRule="atLeast"/>
        <w:jc w:val="both"/>
        <w:rPr>
          <w:b/>
        </w:rPr>
      </w:pPr>
    </w:p>
    <w:p w14:paraId="43A149B1" w14:textId="77777777" w:rsidR="00517621" w:rsidRPr="00517621" w:rsidRDefault="002E1FEA" w:rsidP="00EF449A">
      <w:pPr>
        <w:pStyle w:val="Heading3"/>
      </w:pPr>
      <w:bookmarkStart w:id="43" w:name="_Toc383699997"/>
      <w:r>
        <w:t xml:space="preserve">f. </w:t>
      </w:r>
      <w:r w:rsidR="00517621" w:rsidRPr="00517621">
        <w:t>HOUSEHOLD TENURE</w:t>
      </w:r>
      <w:bookmarkEnd w:id="43"/>
      <w:r w:rsidR="00517621" w:rsidRPr="00517621">
        <w:fldChar w:fldCharType="begin"/>
      </w:r>
      <w:r w:rsidR="00517621" w:rsidRPr="00517621">
        <w:instrText xml:space="preserve"> TC"</w:instrText>
      </w:r>
      <w:bookmarkStart w:id="44" w:name="_Toc53806439"/>
      <w:bookmarkStart w:id="45" w:name="_Toc66156031"/>
      <w:bookmarkStart w:id="46" w:name="_Toc76443951"/>
      <w:bookmarkStart w:id="47" w:name="_Toc123887088"/>
      <w:r w:rsidR="00517621" w:rsidRPr="00517621">
        <w:instrText>Household Tenure</w:instrText>
      </w:r>
      <w:bookmarkEnd w:id="44"/>
      <w:bookmarkEnd w:id="45"/>
      <w:bookmarkEnd w:id="46"/>
      <w:bookmarkEnd w:id="47"/>
      <w:r w:rsidR="00517621" w:rsidRPr="00517621">
        <w:instrText xml:space="preserve">"\l 3 </w:instrText>
      </w:r>
      <w:r w:rsidR="00517621" w:rsidRPr="00517621">
        <w:fldChar w:fldCharType="end"/>
      </w:r>
    </w:p>
    <w:p w14:paraId="1D94E5D1" w14:textId="77777777" w:rsidR="00517621" w:rsidRPr="00517621" w:rsidRDefault="00517621" w:rsidP="00517621">
      <w:pPr>
        <w:spacing w:after="0" w:line="280" w:lineRule="atLeast"/>
        <w:ind w:right="80"/>
        <w:jc w:val="both"/>
      </w:pPr>
      <w:r w:rsidRPr="00517621">
        <w:t>The overall number of renters in the unincorporated area decreased from 40 percent of all occupied units in 1990 to 32 percent 2010. The south county CDPs generally have very high rates of owner occupied units, the highest being Paradise at 95.9%.  North county CDPs have higher renter occupied units with Coleville the highest at 71.9% due to the marine base housing.  Vacant units, used as seasonal homes are widespread and make up 32.7% of all units in the unincorporated county.  June Lake has the highest rate of seasonally vacant homes at 59.4%.</w:t>
      </w:r>
    </w:p>
    <w:p w14:paraId="74414695" w14:textId="77777777" w:rsidR="00517621" w:rsidRPr="00517621" w:rsidRDefault="00517621" w:rsidP="00517621">
      <w:pPr>
        <w:spacing w:after="0" w:line="280" w:lineRule="atLeast"/>
        <w:jc w:val="both"/>
        <w:rPr>
          <w:rFonts w:eastAsia="Times New Roman" w:cs="Times New Roman"/>
          <w:b/>
        </w:rPr>
      </w:pPr>
    </w:p>
    <w:p w14:paraId="073DC329" w14:textId="77777777" w:rsidR="00D666B5" w:rsidRPr="00902009" w:rsidRDefault="00D666B5" w:rsidP="00D666B5">
      <w:pPr>
        <w:spacing w:line="280" w:lineRule="atLeast"/>
        <w:jc w:val="both"/>
      </w:pPr>
      <w:r w:rsidRPr="00902009">
        <w:t>Table 8: Tenure of Occupied and Vacant Units by CDP, 2010.</w:t>
      </w:r>
    </w:p>
    <w:tbl>
      <w:tblPr>
        <w:tblW w:w="5873" w:type="dxa"/>
        <w:tblInd w:w="5" w:type="dxa"/>
        <w:tblLook w:val="04A0" w:firstRow="1" w:lastRow="0" w:firstColumn="1" w:lastColumn="0" w:noHBand="0" w:noVBand="1"/>
      </w:tblPr>
      <w:tblGrid>
        <w:gridCol w:w="2033"/>
        <w:gridCol w:w="960"/>
        <w:gridCol w:w="960"/>
        <w:gridCol w:w="960"/>
        <w:gridCol w:w="960"/>
      </w:tblGrid>
      <w:tr w:rsidR="00D666B5" w:rsidRPr="00902009" w14:paraId="1D51A646" w14:textId="77777777" w:rsidTr="00D666B5">
        <w:trPr>
          <w:trHeight w:val="2685"/>
        </w:trPr>
        <w:tc>
          <w:tcPr>
            <w:tcW w:w="2033" w:type="dxa"/>
            <w:tcBorders>
              <w:top w:val="nil"/>
              <w:left w:val="nil"/>
              <w:bottom w:val="nil"/>
              <w:right w:val="nil"/>
            </w:tcBorders>
            <w:shd w:val="clear" w:color="auto" w:fill="auto"/>
            <w:noWrap/>
            <w:vAlign w:val="bottom"/>
            <w:hideMark/>
          </w:tcPr>
          <w:p w14:paraId="6774A747" w14:textId="77777777" w:rsidR="00D666B5" w:rsidRPr="00902009" w:rsidRDefault="00D666B5" w:rsidP="00D666B5">
            <w:pPr>
              <w:spacing w:after="0" w:line="240" w:lineRule="auto"/>
              <w:rPr>
                <w:rFonts w:eastAsia="Times New Roman" w:cs="Times New Roman"/>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1422F2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Vacant Seasonal, of Total</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317B54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Owner Occupied of Total</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F920A8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Renter Occupied of Total</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40ABE3D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Vacant of Total Units</w:t>
            </w:r>
          </w:p>
        </w:tc>
      </w:tr>
      <w:tr w:rsidR="00D666B5" w:rsidRPr="00902009" w14:paraId="4A59540D" w14:textId="77777777" w:rsidTr="00D666B5">
        <w:trPr>
          <w:trHeight w:val="300"/>
        </w:trPr>
        <w:tc>
          <w:tcPr>
            <w:tcW w:w="2033" w:type="dxa"/>
            <w:tcBorders>
              <w:top w:val="single" w:sz="4" w:space="0" w:color="auto"/>
              <w:left w:val="single" w:sz="4" w:space="0" w:color="auto"/>
              <w:bottom w:val="single" w:sz="4" w:space="0" w:color="auto"/>
              <w:right w:val="nil"/>
            </w:tcBorders>
            <w:shd w:val="clear" w:color="auto" w:fill="auto"/>
            <w:noWrap/>
            <w:vAlign w:val="bottom"/>
            <w:hideMark/>
          </w:tcPr>
          <w:p w14:paraId="6064911D"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Countywide</w:t>
            </w:r>
          </w:p>
        </w:tc>
        <w:tc>
          <w:tcPr>
            <w:tcW w:w="960" w:type="dxa"/>
            <w:tcBorders>
              <w:top w:val="single" w:sz="4" w:space="0" w:color="auto"/>
              <w:left w:val="single" w:sz="4" w:space="0" w:color="auto"/>
              <w:bottom w:val="single" w:sz="4" w:space="0" w:color="auto"/>
              <w:right w:val="single" w:sz="4" w:space="0" w:color="auto"/>
            </w:tcBorders>
            <w:shd w:val="clear" w:color="000000" w:fill="8BCB84"/>
            <w:noWrap/>
            <w:vAlign w:val="bottom"/>
            <w:hideMark/>
          </w:tcPr>
          <w:p w14:paraId="0D1FDC8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45.9%</w:t>
            </w:r>
          </w:p>
        </w:tc>
        <w:tc>
          <w:tcPr>
            <w:tcW w:w="960" w:type="dxa"/>
            <w:tcBorders>
              <w:top w:val="single" w:sz="4" w:space="0" w:color="auto"/>
              <w:left w:val="single" w:sz="4" w:space="0" w:color="auto"/>
              <w:bottom w:val="single" w:sz="4" w:space="0" w:color="auto"/>
              <w:right w:val="single" w:sz="4" w:space="0" w:color="auto"/>
            </w:tcBorders>
            <w:shd w:val="clear" w:color="000000" w:fill="BFDB8F"/>
            <w:noWrap/>
            <w:vAlign w:val="bottom"/>
            <w:hideMark/>
          </w:tcPr>
          <w:p w14:paraId="1A5BFC7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56.0%</w:t>
            </w:r>
          </w:p>
        </w:tc>
        <w:tc>
          <w:tcPr>
            <w:tcW w:w="960"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14:paraId="55F1176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44.0%</w:t>
            </w:r>
          </w:p>
        </w:tc>
        <w:tc>
          <w:tcPr>
            <w:tcW w:w="960" w:type="dxa"/>
            <w:tcBorders>
              <w:top w:val="single" w:sz="4" w:space="0" w:color="auto"/>
              <w:left w:val="single" w:sz="4" w:space="0" w:color="auto"/>
              <w:bottom w:val="single" w:sz="4" w:space="0" w:color="auto"/>
              <w:right w:val="single" w:sz="4" w:space="0" w:color="auto"/>
            </w:tcBorders>
            <w:shd w:val="clear" w:color="000000" w:fill="7CC681"/>
            <w:noWrap/>
            <w:vAlign w:val="bottom"/>
            <w:hideMark/>
          </w:tcPr>
          <w:p w14:paraId="1D1BB0C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58.5%</w:t>
            </w:r>
          </w:p>
        </w:tc>
      </w:tr>
      <w:tr w:rsidR="00D666B5" w:rsidRPr="00902009" w14:paraId="6F1ED2FA"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5FFA526F" w14:textId="77777777" w:rsidR="00D666B5" w:rsidRPr="00902009" w:rsidRDefault="00D666B5" w:rsidP="00D666B5">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960" w:type="dxa"/>
            <w:tcBorders>
              <w:top w:val="nil"/>
              <w:left w:val="nil"/>
              <w:bottom w:val="single" w:sz="4" w:space="0" w:color="auto"/>
              <w:right w:val="nil"/>
            </w:tcBorders>
            <w:shd w:val="clear" w:color="auto" w:fill="auto"/>
            <w:noWrap/>
            <w:vAlign w:val="bottom"/>
            <w:hideMark/>
          </w:tcPr>
          <w:p w14:paraId="213952C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2F28753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3E25237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1CF0C7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509F07D5"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0C90AA2C"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Mammoth Lakes</w:t>
            </w:r>
          </w:p>
        </w:tc>
        <w:tc>
          <w:tcPr>
            <w:tcW w:w="960" w:type="dxa"/>
            <w:tcBorders>
              <w:top w:val="single" w:sz="4" w:space="0" w:color="auto"/>
              <w:left w:val="single" w:sz="4" w:space="0" w:color="auto"/>
              <w:bottom w:val="single" w:sz="4" w:space="0" w:color="auto"/>
              <w:right w:val="single" w:sz="4" w:space="0" w:color="auto"/>
            </w:tcBorders>
            <w:shd w:val="clear" w:color="000000" w:fill="7AC680"/>
            <w:noWrap/>
            <w:vAlign w:val="bottom"/>
            <w:hideMark/>
          </w:tcPr>
          <w:p w14:paraId="24DD1C7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51.7%</w:t>
            </w:r>
          </w:p>
        </w:tc>
        <w:tc>
          <w:tcPr>
            <w:tcW w:w="960" w:type="dxa"/>
            <w:tcBorders>
              <w:top w:val="single" w:sz="4" w:space="0" w:color="auto"/>
              <w:left w:val="single" w:sz="4" w:space="0" w:color="auto"/>
              <w:bottom w:val="single" w:sz="4" w:space="0" w:color="auto"/>
              <w:right w:val="single" w:sz="4" w:space="0" w:color="auto"/>
            </w:tcBorders>
            <w:shd w:val="clear" w:color="000000" w:fill="D5E294"/>
            <w:noWrap/>
            <w:vAlign w:val="bottom"/>
            <w:hideMark/>
          </w:tcPr>
          <w:p w14:paraId="51991FA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46.5%</w:t>
            </w:r>
          </w:p>
        </w:tc>
        <w:tc>
          <w:tcPr>
            <w:tcW w:w="960" w:type="dxa"/>
            <w:tcBorders>
              <w:top w:val="single" w:sz="4" w:space="0" w:color="auto"/>
              <w:left w:val="single" w:sz="4" w:space="0" w:color="auto"/>
              <w:bottom w:val="single" w:sz="4" w:space="0" w:color="auto"/>
              <w:right w:val="single" w:sz="4" w:space="0" w:color="auto"/>
            </w:tcBorders>
            <w:shd w:val="clear" w:color="000000" w:fill="8ECC84"/>
            <w:noWrap/>
            <w:vAlign w:val="bottom"/>
            <w:hideMark/>
          </w:tcPr>
          <w:p w14:paraId="7A60F6A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53.5%</w:t>
            </w:r>
          </w:p>
        </w:tc>
        <w:tc>
          <w:tcPr>
            <w:tcW w:w="960" w:type="dxa"/>
            <w:tcBorders>
              <w:top w:val="single" w:sz="4" w:space="0" w:color="auto"/>
              <w:left w:val="single" w:sz="4" w:space="0" w:color="auto"/>
              <w:bottom w:val="single" w:sz="4" w:space="0" w:color="auto"/>
              <w:right w:val="single" w:sz="4" w:space="0" w:color="auto"/>
            </w:tcBorders>
            <w:shd w:val="clear" w:color="000000" w:fill="66BF7C"/>
            <w:noWrap/>
            <w:vAlign w:val="bottom"/>
            <w:hideMark/>
          </w:tcPr>
          <w:p w14:paraId="74E3577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66.5%</w:t>
            </w:r>
          </w:p>
        </w:tc>
      </w:tr>
      <w:tr w:rsidR="00D666B5" w:rsidRPr="00902009" w14:paraId="16413EC7"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7FFC589B"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0EE0378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4ABF34B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2457632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783618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737A3FED"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60121DC0"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Countywide -Town</w:t>
            </w:r>
          </w:p>
        </w:tc>
        <w:tc>
          <w:tcPr>
            <w:tcW w:w="960" w:type="dxa"/>
            <w:tcBorders>
              <w:top w:val="single" w:sz="4" w:space="0" w:color="auto"/>
              <w:left w:val="single" w:sz="4" w:space="0" w:color="auto"/>
              <w:bottom w:val="single" w:sz="4" w:space="0" w:color="auto"/>
              <w:right w:val="single" w:sz="4" w:space="0" w:color="auto"/>
            </w:tcBorders>
            <w:shd w:val="clear" w:color="000000" w:fill="B1D78C"/>
            <w:noWrap/>
            <w:vAlign w:val="bottom"/>
            <w:hideMark/>
          </w:tcPr>
          <w:p w14:paraId="320C373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32.7%</w:t>
            </w:r>
          </w:p>
        </w:tc>
        <w:tc>
          <w:tcPr>
            <w:tcW w:w="960"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14:paraId="19AE815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68.0%</w:t>
            </w:r>
          </w:p>
        </w:tc>
        <w:tc>
          <w:tcPr>
            <w:tcW w:w="960" w:type="dxa"/>
            <w:tcBorders>
              <w:top w:val="single" w:sz="4" w:space="0" w:color="auto"/>
              <w:left w:val="single" w:sz="4" w:space="0" w:color="auto"/>
              <w:bottom w:val="single" w:sz="4" w:space="0" w:color="auto"/>
              <w:right w:val="single" w:sz="4" w:space="0" w:color="auto"/>
            </w:tcBorders>
            <w:shd w:val="clear" w:color="000000" w:fill="BFDB8F"/>
            <w:noWrap/>
            <w:vAlign w:val="bottom"/>
            <w:hideMark/>
          </w:tcPr>
          <w:p w14:paraId="56A38F1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32.0%</w:t>
            </w:r>
          </w:p>
        </w:tc>
        <w:tc>
          <w:tcPr>
            <w:tcW w:w="960"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5BB6161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40.8%</w:t>
            </w:r>
          </w:p>
        </w:tc>
      </w:tr>
      <w:tr w:rsidR="00D666B5" w:rsidRPr="00902009" w14:paraId="5B8CE956"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33F3638E"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1B3F0D3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5CE9B2A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0C7827D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89DDF5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19B401F5" w14:textId="77777777" w:rsidTr="00D666B5">
        <w:trPr>
          <w:trHeight w:val="300"/>
        </w:trPr>
        <w:tc>
          <w:tcPr>
            <w:tcW w:w="2993" w:type="dxa"/>
            <w:gridSpan w:val="2"/>
            <w:tcBorders>
              <w:top w:val="single" w:sz="4" w:space="0" w:color="auto"/>
              <w:left w:val="single" w:sz="4" w:space="0" w:color="auto"/>
              <w:bottom w:val="single" w:sz="4" w:space="0" w:color="auto"/>
              <w:right w:val="nil"/>
            </w:tcBorders>
            <w:shd w:val="clear" w:color="auto" w:fill="auto"/>
            <w:noWrap/>
            <w:vAlign w:val="bottom"/>
            <w:hideMark/>
          </w:tcPr>
          <w:p w14:paraId="47E06A06" w14:textId="77777777" w:rsidR="00D666B5" w:rsidRPr="00902009" w:rsidRDefault="00D666B5" w:rsidP="00D666B5">
            <w:pPr>
              <w:spacing w:after="0" w:line="240" w:lineRule="auto"/>
              <w:rPr>
                <w:rFonts w:eastAsia="Times New Roman" w:cs="Times New Roman"/>
                <w:i/>
                <w:iCs/>
                <w:color w:val="000000"/>
              </w:rPr>
            </w:pPr>
            <w:r w:rsidRPr="00902009">
              <w:rPr>
                <w:rFonts w:eastAsia="Times New Roman" w:cs="Times New Roman"/>
                <w:i/>
                <w:iCs/>
                <w:color w:val="000000"/>
              </w:rPr>
              <w:t>Mono County CDPs</w:t>
            </w:r>
          </w:p>
        </w:tc>
        <w:tc>
          <w:tcPr>
            <w:tcW w:w="960" w:type="dxa"/>
            <w:tcBorders>
              <w:top w:val="nil"/>
              <w:left w:val="nil"/>
              <w:bottom w:val="single" w:sz="4" w:space="0" w:color="auto"/>
              <w:right w:val="nil"/>
            </w:tcBorders>
            <w:shd w:val="clear" w:color="auto" w:fill="auto"/>
            <w:noWrap/>
            <w:vAlign w:val="bottom"/>
            <w:hideMark/>
          </w:tcPr>
          <w:p w14:paraId="0750439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2D3DE8C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B17C38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4F832EF9"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29BBE288"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Chalfant</w:t>
            </w:r>
          </w:p>
        </w:tc>
        <w:tc>
          <w:tcPr>
            <w:tcW w:w="960" w:type="dxa"/>
            <w:tcBorders>
              <w:top w:val="single" w:sz="4" w:space="0" w:color="auto"/>
              <w:left w:val="single" w:sz="4" w:space="0" w:color="auto"/>
              <w:bottom w:val="single" w:sz="4" w:space="0" w:color="auto"/>
              <w:right w:val="single" w:sz="4" w:space="0" w:color="auto"/>
            </w:tcBorders>
            <w:shd w:val="clear" w:color="000000" w:fill="FDEF9C"/>
            <w:noWrap/>
            <w:vAlign w:val="bottom"/>
            <w:hideMark/>
          </w:tcPr>
          <w:p w14:paraId="27EE3CA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6.3%</w:t>
            </w:r>
          </w:p>
        </w:tc>
        <w:tc>
          <w:tcPr>
            <w:tcW w:w="960" w:type="dxa"/>
            <w:tcBorders>
              <w:top w:val="single" w:sz="4" w:space="0" w:color="auto"/>
              <w:left w:val="single" w:sz="4" w:space="0" w:color="auto"/>
              <w:bottom w:val="single" w:sz="4" w:space="0" w:color="auto"/>
              <w:right w:val="single" w:sz="4" w:space="0" w:color="auto"/>
            </w:tcBorders>
            <w:shd w:val="clear" w:color="000000" w:fill="77C580"/>
            <w:noWrap/>
            <w:vAlign w:val="bottom"/>
            <w:hideMark/>
          </w:tcPr>
          <w:p w14:paraId="799A4DF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87.5%</w:t>
            </w:r>
          </w:p>
        </w:tc>
        <w:tc>
          <w:tcPr>
            <w:tcW w:w="960"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14:paraId="2FAE523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12.5%</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D945B6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12.3%</w:t>
            </w:r>
          </w:p>
        </w:tc>
      </w:tr>
      <w:tr w:rsidR="00D666B5" w:rsidRPr="00902009" w14:paraId="36955211"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76ADD4E7"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Benton</w:t>
            </w:r>
          </w:p>
        </w:tc>
        <w:tc>
          <w:tcPr>
            <w:tcW w:w="960" w:type="dxa"/>
            <w:tcBorders>
              <w:top w:val="single" w:sz="4" w:space="0" w:color="auto"/>
              <w:left w:val="single" w:sz="4" w:space="0" w:color="auto"/>
              <w:bottom w:val="single" w:sz="4" w:space="0" w:color="auto"/>
              <w:right w:val="single" w:sz="4" w:space="0" w:color="auto"/>
            </w:tcBorders>
            <w:shd w:val="clear" w:color="000000" w:fill="F2EB9A"/>
            <w:noWrap/>
            <w:vAlign w:val="bottom"/>
            <w:hideMark/>
          </w:tcPr>
          <w:p w14:paraId="05CDA8F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10.1%</w:t>
            </w:r>
          </w:p>
        </w:tc>
        <w:tc>
          <w:tcPr>
            <w:tcW w:w="960" w:type="dxa"/>
            <w:tcBorders>
              <w:top w:val="single" w:sz="4" w:space="0" w:color="auto"/>
              <w:left w:val="single" w:sz="4" w:space="0" w:color="auto"/>
              <w:bottom w:val="single" w:sz="4" w:space="0" w:color="auto"/>
              <w:right w:val="single" w:sz="4" w:space="0" w:color="auto"/>
            </w:tcBorders>
            <w:shd w:val="clear" w:color="000000" w:fill="9ED188"/>
            <w:noWrap/>
            <w:vAlign w:val="bottom"/>
            <w:hideMark/>
          </w:tcPr>
          <w:p w14:paraId="3DD6E55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70.5%</w:t>
            </w:r>
          </w:p>
        </w:tc>
        <w:tc>
          <w:tcPr>
            <w:tcW w:w="960" w:type="dxa"/>
            <w:tcBorders>
              <w:top w:val="single" w:sz="4" w:space="0" w:color="auto"/>
              <w:left w:val="single" w:sz="4" w:space="0" w:color="auto"/>
              <w:bottom w:val="single" w:sz="4" w:space="0" w:color="auto"/>
              <w:right w:val="single" w:sz="4" w:space="0" w:color="auto"/>
            </w:tcBorders>
            <w:shd w:val="clear" w:color="000000" w:fill="C5DD90"/>
            <w:noWrap/>
            <w:vAlign w:val="bottom"/>
            <w:hideMark/>
          </w:tcPr>
          <w:p w14:paraId="78281E0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29.5%</w:t>
            </w:r>
          </w:p>
        </w:tc>
        <w:tc>
          <w:tcPr>
            <w:tcW w:w="960"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14:paraId="3613F47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23.3%</w:t>
            </w:r>
          </w:p>
        </w:tc>
      </w:tr>
      <w:tr w:rsidR="00D666B5" w:rsidRPr="00902009" w14:paraId="68E2E6F1"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197A26CD"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Paradise</w:t>
            </w:r>
          </w:p>
        </w:tc>
        <w:tc>
          <w:tcPr>
            <w:tcW w:w="960" w:type="dxa"/>
            <w:tcBorders>
              <w:top w:val="single" w:sz="4" w:space="0" w:color="auto"/>
              <w:left w:val="single" w:sz="4" w:space="0" w:color="auto"/>
              <w:bottom w:val="single" w:sz="4" w:space="0" w:color="auto"/>
              <w:right w:val="single" w:sz="4" w:space="0" w:color="auto"/>
            </w:tcBorders>
            <w:shd w:val="clear" w:color="000000" w:fill="EBE998"/>
            <w:noWrap/>
            <w:vAlign w:val="bottom"/>
            <w:hideMark/>
          </w:tcPr>
          <w:p w14:paraId="7E2F4B0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12.6%</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5E537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95.9%</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8B4C2E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4.1%</w:t>
            </w:r>
          </w:p>
        </w:tc>
        <w:tc>
          <w:tcPr>
            <w:tcW w:w="960" w:type="dxa"/>
            <w:tcBorders>
              <w:top w:val="single" w:sz="4" w:space="0" w:color="auto"/>
              <w:left w:val="single" w:sz="4" w:space="0" w:color="auto"/>
              <w:bottom w:val="single" w:sz="4" w:space="0" w:color="auto"/>
              <w:right w:val="single" w:sz="4" w:space="0" w:color="auto"/>
            </w:tcBorders>
            <w:shd w:val="clear" w:color="000000" w:fill="F8ED9B"/>
            <w:noWrap/>
            <w:vAlign w:val="bottom"/>
            <w:hideMark/>
          </w:tcPr>
          <w:p w14:paraId="49A5636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14.9%</w:t>
            </w:r>
          </w:p>
        </w:tc>
      </w:tr>
      <w:tr w:rsidR="00D666B5" w:rsidRPr="00902009" w14:paraId="6FE53693"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63C28FCE"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Swall Meadows</w:t>
            </w:r>
          </w:p>
        </w:tc>
        <w:tc>
          <w:tcPr>
            <w:tcW w:w="960" w:type="dxa"/>
            <w:tcBorders>
              <w:top w:val="single" w:sz="4" w:space="0" w:color="auto"/>
              <w:left w:val="single" w:sz="4" w:space="0" w:color="auto"/>
              <w:bottom w:val="single" w:sz="4" w:space="0" w:color="auto"/>
              <w:right w:val="single" w:sz="4" w:space="0" w:color="auto"/>
            </w:tcBorders>
            <w:shd w:val="clear" w:color="000000" w:fill="CCDF92"/>
            <w:noWrap/>
            <w:vAlign w:val="bottom"/>
            <w:hideMark/>
          </w:tcPr>
          <w:p w14:paraId="3A13AD0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23.4%</w:t>
            </w:r>
          </w:p>
        </w:tc>
        <w:tc>
          <w:tcPr>
            <w:tcW w:w="960" w:type="dxa"/>
            <w:tcBorders>
              <w:top w:val="single" w:sz="4" w:space="0" w:color="auto"/>
              <w:left w:val="single" w:sz="4" w:space="0" w:color="auto"/>
              <w:bottom w:val="single" w:sz="4" w:space="0" w:color="auto"/>
              <w:right w:val="single" w:sz="4" w:space="0" w:color="auto"/>
            </w:tcBorders>
            <w:shd w:val="clear" w:color="000000" w:fill="6DC17D"/>
            <w:noWrap/>
            <w:vAlign w:val="bottom"/>
            <w:hideMark/>
          </w:tcPr>
          <w:p w14:paraId="1FE19B3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91.8%</w:t>
            </w:r>
          </w:p>
        </w:tc>
        <w:tc>
          <w:tcPr>
            <w:tcW w:w="960" w:type="dxa"/>
            <w:tcBorders>
              <w:top w:val="single" w:sz="4" w:space="0" w:color="auto"/>
              <w:left w:val="single" w:sz="4" w:space="0" w:color="auto"/>
              <w:bottom w:val="single" w:sz="4" w:space="0" w:color="auto"/>
              <w:right w:val="single" w:sz="4" w:space="0" w:color="auto"/>
            </w:tcBorders>
            <w:shd w:val="clear" w:color="000000" w:fill="F6ED9B"/>
            <w:noWrap/>
            <w:vAlign w:val="bottom"/>
            <w:hideMark/>
          </w:tcPr>
          <w:p w14:paraId="2D0B82B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8.2%</w:t>
            </w:r>
          </w:p>
        </w:tc>
        <w:tc>
          <w:tcPr>
            <w:tcW w:w="960"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14:paraId="2DA361A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23.4%</w:t>
            </w:r>
          </w:p>
        </w:tc>
      </w:tr>
      <w:tr w:rsidR="00D666B5" w:rsidRPr="00902009" w14:paraId="35FE44E8"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476BA47B"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Sunny Slopes</w:t>
            </w:r>
          </w:p>
        </w:tc>
        <w:tc>
          <w:tcPr>
            <w:tcW w:w="960" w:type="dxa"/>
            <w:tcBorders>
              <w:top w:val="single" w:sz="4" w:space="0" w:color="auto"/>
              <w:left w:val="single" w:sz="4" w:space="0" w:color="auto"/>
              <w:bottom w:val="single" w:sz="4" w:space="0" w:color="auto"/>
              <w:right w:val="single" w:sz="4" w:space="0" w:color="auto"/>
            </w:tcBorders>
            <w:shd w:val="clear" w:color="000000" w:fill="90CC85"/>
            <w:noWrap/>
            <w:vAlign w:val="bottom"/>
            <w:hideMark/>
          </w:tcPr>
          <w:p w14:paraId="0791DEE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44.2%</w:t>
            </w:r>
          </w:p>
        </w:tc>
        <w:tc>
          <w:tcPr>
            <w:tcW w:w="960" w:type="dxa"/>
            <w:tcBorders>
              <w:top w:val="single" w:sz="4" w:space="0" w:color="auto"/>
              <w:left w:val="single" w:sz="4" w:space="0" w:color="auto"/>
              <w:bottom w:val="single" w:sz="4" w:space="0" w:color="auto"/>
              <w:right w:val="single" w:sz="4" w:space="0" w:color="auto"/>
            </w:tcBorders>
            <w:shd w:val="clear" w:color="000000" w:fill="A0D288"/>
            <w:noWrap/>
            <w:vAlign w:val="bottom"/>
            <w:hideMark/>
          </w:tcPr>
          <w:p w14:paraId="0221CE3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69.4%</w:t>
            </w:r>
          </w:p>
        </w:tc>
        <w:tc>
          <w:tcPr>
            <w:tcW w:w="960" w:type="dxa"/>
            <w:tcBorders>
              <w:top w:val="single" w:sz="4" w:space="0" w:color="auto"/>
              <w:left w:val="single" w:sz="4" w:space="0" w:color="auto"/>
              <w:bottom w:val="single" w:sz="4" w:space="0" w:color="auto"/>
              <w:right w:val="single" w:sz="4" w:space="0" w:color="auto"/>
            </w:tcBorders>
            <w:shd w:val="clear" w:color="000000" w:fill="C3DC90"/>
            <w:noWrap/>
            <w:vAlign w:val="bottom"/>
            <w:hideMark/>
          </w:tcPr>
          <w:p w14:paraId="65F0DC9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30.6%</w:t>
            </w:r>
          </w:p>
        </w:tc>
        <w:tc>
          <w:tcPr>
            <w:tcW w:w="960" w:type="dxa"/>
            <w:tcBorders>
              <w:top w:val="single" w:sz="4" w:space="0" w:color="auto"/>
              <w:left w:val="single" w:sz="4" w:space="0" w:color="auto"/>
              <w:bottom w:val="single" w:sz="4" w:space="0" w:color="auto"/>
              <w:right w:val="single" w:sz="4" w:space="0" w:color="auto"/>
            </w:tcBorders>
            <w:shd w:val="clear" w:color="000000" w:fill="A1D289"/>
            <w:noWrap/>
            <w:vAlign w:val="bottom"/>
            <w:hideMark/>
          </w:tcPr>
          <w:p w14:paraId="644B40B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45.5%</w:t>
            </w:r>
          </w:p>
        </w:tc>
      </w:tr>
      <w:tr w:rsidR="00D666B5" w:rsidRPr="00902009" w14:paraId="25A77F6A"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76A65A5C" w14:textId="77777777" w:rsidR="00D666B5" w:rsidRPr="00902009" w:rsidRDefault="00022FE4" w:rsidP="00D666B5">
            <w:pPr>
              <w:spacing w:after="0" w:line="240" w:lineRule="auto"/>
              <w:rPr>
                <w:rFonts w:eastAsia="Times New Roman" w:cs="Times New Roman"/>
                <w:color w:val="000000"/>
              </w:rPr>
            </w:pPr>
            <w:r>
              <w:rPr>
                <w:rFonts w:eastAsia="Times New Roman" w:cs="Times New Roman"/>
                <w:color w:val="000000"/>
              </w:rPr>
              <w:t>Asp</w:t>
            </w:r>
            <w:r w:rsidR="00D666B5" w:rsidRPr="00902009">
              <w:rPr>
                <w:rFonts w:eastAsia="Times New Roman" w:cs="Times New Roman"/>
                <w:color w:val="000000"/>
              </w:rPr>
              <w:t>en Springs</w:t>
            </w:r>
          </w:p>
        </w:tc>
        <w:tc>
          <w:tcPr>
            <w:tcW w:w="960" w:type="dxa"/>
            <w:tcBorders>
              <w:top w:val="single" w:sz="4" w:space="0" w:color="auto"/>
              <w:left w:val="single" w:sz="4" w:space="0" w:color="auto"/>
              <w:bottom w:val="single" w:sz="4" w:space="0" w:color="auto"/>
              <w:right w:val="single" w:sz="4" w:space="0" w:color="auto"/>
            </w:tcBorders>
            <w:shd w:val="clear" w:color="000000" w:fill="B7D98D"/>
            <w:noWrap/>
            <w:vAlign w:val="bottom"/>
            <w:hideMark/>
          </w:tcPr>
          <w:p w14:paraId="66E572B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30.6%</w:t>
            </w:r>
          </w:p>
        </w:tc>
        <w:tc>
          <w:tcPr>
            <w:tcW w:w="960" w:type="dxa"/>
            <w:tcBorders>
              <w:top w:val="single" w:sz="4" w:space="0" w:color="auto"/>
              <w:left w:val="single" w:sz="4" w:space="0" w:color="auto"/>
              <w:bottom w:val="single" w:sz="4" w:space="0" w:color="auto"/>
              <w:right w:val="single" w:sz="4" w:space="0" w:color="auto"/>
            </w:tcBorders>
            <w:shd w:val="clear" w:color="000000" w:fill="7FC781"/>
            <w:noWrap/>
            <w:vAlign w:val="bottom"/>
            <w:hideMark/>
          </w:tcPr>
          <w:p w14:paraId="0B6E6A3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84.0%</w:t>
            </w:r>
          </w:p>
        </w:tc>
        <w:tc>
          <w:tcPr>
            <w:tcW w:w="960" w:type="dxa"/>
            <w:tcBorders>
              <w:top w:val="single" w:sz="4" w:space="0" w:color="auto"/>
              <w:left w:val="single" w:sz="4" w:space="0" w:color="auto"/>
              <w:bottom w:val="single" w:sz="4" w:space="0" w:color="auto"/>
              <w:right w:val="single" w:sz="4" w:space="0" w:color="auto"/>
            </w:tcBorders>
            <w:shd w:val="clear" w:color="000000" w:fill="E4E797"/>
            <w:noWrap/>
            <w:vAlign w:val="bottom"/>
            <w:hideMark/>
          </w:tcPr>
          <w:p w14:paraId="25EC848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16.0%</w:t>
            </w:r>
          </w:p>
        </w:tc>
        <w:tc>
          <w:tcPr>
            <w:tcW w:w="960" w:type="dxa"/>
            <w:tcBorders>
              <w:top w:val="single" w:sz="4" w:space="0" w:color="auto"/>
              <w:left w:val="single" w:sz="4" w:space="0" w:color="auto"/>
              <w:bottom w:val="single" w:sz="4" w:space="0" w:color="auto"/>
              <w:right w:val="single" w:sz="4" w:space="0" w:color="auto"/>
            </w:tcBorders>
            <w:shd w:val="clear" w:color="000000" w:fill="CCDF92"/>
            <w:noWrap/>
            <w:vAlign w:val="bottom"/>
            <w:hideMark/>
          </w:tcPr>
          <w:p w14:paraId="7DA45D9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30.6%</w:t>
            </w:r>
          </w:p>
        </w:tc>
      </w:tr>
      <w:tr w:rsidR="00D666B5" w:rsidRPr="00902009" w14:paraId="733D7FBA"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25CFCE44"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Crowley Lake</w:t>
            </w:r>
          </w:p>
        </w:tc>
        <w:tc>
          <w:tcPr>
            <w:tcW w:w="960" w:type="dxa"/>
            <w:tcBorders>
              <w:top w:val="single" w:sz="4" w:space="0" w:color="auto"/>
              <w:left w:val="single" w:sz="4" w:space="0" w:color="auto"/>
              <w:bottom w:val="single" w:sz="4" w:space="0" w:color="auto"/>
              <w:right w:val="single" w:sz="4" w:space="0" w:color="auto"/>
            </w:tcBorders>
            <w:shd w:val="clear" w:color="000000" w:fill="D6E294"/>
            <w:noWrap/>
            <w:vAlign w:val="bottom"/>
            <w:hideMark/>
          </w:tcPr>
          <w:p w14:paraId="3028C87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20.0%</w:t>
            </w:r>
          </w:p>
        </w:tc>
        <w:tc>
          <w:tcPr>
            <w:tcW w:w="960" w:type="dxa"/>
            <w:tcBorders>
              <w:top w:val="single" w:sz="4" w:space="0" w:color="auto"/>
              <w:left w:val="single" w:sz="4" w:space="0" w:color="auto"/>
              <w:bottom w:val="single" w:sz="4" w:space="0" w:color="auto"/>
              <w:right w:val="single" w:sz="4" w:space="0" w:color="auto"/>
            </w:tcBorders>
            <w:shd w:val="clear" w:color="000000" w:fill="8CCB84"/>
            <w:noWrap/>
            <w:vAlign w:val="bottom"/>
            <w:hideMark/>
          </w:tcPr>
          <w:p w14:paraId="27A04FA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78.2%</w:t>
            </w:r>
          </w:p>
        </w:tc>
        <w:tc>
          <w:tcPr>
            <w:tcW w:w="960" w:type="dxa"/>
            <w:tcBorders>
              <w:top w:val="single" w:sz="4" w:space="0" w:color="auto"/>
              <w:left w:val="single" w:sz="4" w:space="0" w:color="auto"/>
              <w:bottom w:val="single" w:sz="4" w:space="0" w:color="auto"/>
              <w:right w:val="single" w:sz="4" w:space="0" w:color="auto"/>
            </w:tcBorders>
            <w:shd w:val="clear" w:color="000000" w:fill="D7E394"/>
            <w:noWrap/>
            <w:vAlign w:val="bottom"/>
            <w:hideMark/>
          </w:tcPr>
          <w:p w14:paraId="4C1DB21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21.8%</w:t>
            </w:r>
          </w:p>
        </w:tc>
        <w:tc>
          <w:tcPr>
            <w:tcW w:w="960" w:type="dxa"/>
            <w:tcBorders>
              <w:top w:val="single" w:sz="4" w:space="0" w:color="auto"/>
              <w:left w:val="single" w:sz="4" w:space="0" w:color="auto"/>
              <w:bottom w:val="single" w:sz="4" w:space="0" w:color="auto"/>
              <w:right w:val="single" w:sz="4" w:space="0" w:color="auto"/>
            </w:tcBorders>
            <w:shd w:val="clear" w:color="000000" w:fill="D6E294"/>
            <w:noWrap/>
            <w:vAlign w:val="bottom"/>
            <w:hideMark/>
          </w:tcPr>
          <w:p w14:paraId="2A46A53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27.0%</w:t>
            </w:r>
          </w:p>
        </w:tc>
      </w:tr>
      <w:tr w:rsidR="00D666B5" w:rsidRPr="00902009" w14:paraId="79519164"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195A04B9"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McGee Creek</w:t>
            </w:r>
          </w:p>
        </w:tc>
        <w:tc>
          <w:tcPr>
            <w:tcW w:w="960" w:type="dxa"/>
            <w:tcBorders>
              <w:top w:val="single" w:sz="4" w:space="0" w:color="auto"/>
              <w:left w:val="single" w:sz="4" w:space="0" w:color="auto"/>
              <w:bottom w:val="single" w:sz="4" w:space="0" w:color="auto"/>
              <w:right w:val="single" w:sz="4" w:space="0" w:color="auto"/>
            </w:tcBorders>
            <w:shd w:val="clear" w:color="000000" w:fill="C2DC90"/>
            <w:noWrap/>
            <w:vAlign w:val="bottom"/>
            <w:hideMark/>
          </w:tcPr>
          <w:p w14:paraId="2D73F45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26.7%</w:t>
            </w:r>
          </w:p>
        </w:tc>
        <w:tc>
          <w:tcPr>
            <w:tcW w:w="960" w:type="dxa"/>
            <w:tcBorders>
              <w:top w:val="single" w:sz="4" w:space="0" w:color="auto"/>
              <w:left w:val="single" w:sz="4" w:space="0" w:color="auto"/>
              <w:bottom w:val="single" w:sz="4" w:space="0" w:color="auto"/>
              <w:right w:val="single" w:sz="4" w:space="0" w:color="auto"/>
            </w:tcBorders>
            <w:shd w:val="clear" w:color="000000" w:fill="65BF7C"/>
            <w:noWrap/>
            <w:vAlign w:val="bottom"/>
            <w:hideMark/>
          </w:tcPr>
          <w:p w14:paraId="5470895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95.2%</w:t>
            </w:r>
          </w:p>
        </w:tc>
        <w:tc>
          <w:tcPr>
            <w:tcW w:w="960" w:type="dxa"/>
            <w:tcBorders>
              <w:top w:val="single" w:sz="4" w:space="0" w:color="auto"/>
              <w:left w:val="single" w:sz="4" w:space="0" w:color="auto"/>
              <w:bottom w:val="single" w:sz="4" w:space="0" w:color="auto"/>
              <w:right w:val="single" w:sz="4" w:space="0" w:color="auto"/>
            </w:tcBorders>
            <w:shd w:val="clear" w:color="000000" w:fill="FEEF9C"/>
            <w:noWrap/>
            <w:vAlign w:val="bottom"/>
            <w:hideMark/>
          </w:tcPr>
          <w:p w14:paraId="7C5288A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4.8%</w:t>
            </w:r>
          </w:p>
        </w:tc>
        <w:tc>
          <w:tcPr>
            <w:tcW w:w="960" w:type="dxa"/>
            <w:tcBorders>
              <w:top w:val="single" w:sz="4" w:space="0" w:color="auto"/>
              <w:left w:val="single" w:sz="4" w:space="0" w:color="auto"/>
              <w:bottom w:val="single" w:sz="4" w:space="0" w:color="auto"/>
              <w:right w:val="single" w:sz="4" w:space="0" w:color="auto"/>
            </w:tcBorders>
            <w:shd w:val="clear" w:color="000000" w:fill="CDE092"/>
            <w:noWrap/>
            <w:vAlign w:val="bottom"/>
            <w:hideMark/>
          </w:tcPr>
          <w:p w14:paraId="05506C2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30.0%</w:t>
            </w:r>
          </w:p>
        </w:tc>
      </w:tr>
      <w:tr w:rsidR="00D666B5" w:rsidRPr="00902009" w14:paraId="2250D646"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4943B43F"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June Lake</w:t>
            </w:r>
          </w:p>
        </w:tc>
        <w:tc>
          <w:tcPr>
            <w:tcW w:w="960" w:type="dxa"/>
            <w:tcBorders>
              <w:top w:val="single" w:sz="4" w:space="0" w:color="auto"/>
              <w:left w:val="single" w:sz="4" w:space="0" w:color="auto"/>
              <w:bottom w:val="single" w:sz="4" w:space="0" w:color="auto"/>
              <w:right w:val="single" w:sz="4" w:space="0" w:color="auto"/>
            </w:tcBorders>
            <w:shd w:val="clear" w:color="000000" w:fill="64BF7C"/>
            <w:noWrap/>
            <w:vAlign w:val="bottom"/>
            <w:hideMark/>
          </w:tcPr>
          <w:p w14:paraId="4566A5B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59.4%</w:t>
            </w:r>
          </w:p>
        </w:tc>
        <w:tc>
          <w:tcPr>
            <w:tcW w:w="960"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14:paraId="0DF0F6C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54.1%</w:t>
            </w:r>
          </w:p>
        </w:tc>
        <w:tc>
          <w:tcPr>
            <w:tcW w:w="960" w:type="dxa"/>
            <w:tcBorders>
              <w:top w:val="single" w:sz="4" w:space="0" w:color="auto"/>
              <w:left w:val="single" w:sz="4" w:space="0" w:color="auto"/>
              <w:bottom w:val="single" w:sz="4" w:space="0" w:color="auto"/>
              <w:right w:val="single" w:sz="4" w:space="0" w:color="auto"/>
            </w:tcBorders>
            <w:shd w:val="clear" w:color="000000" w:fill="9FD188"/>
            <w:noWrap/>
            <w:vAlign w:val="bottom"/>
            <w:hideMark/>
          </w:tcPr>
          <w:p w14:paraId="70376C0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45.9%</w:t>
            </w:r>
          </w:p>
        </w:tc>
        <w:tc>
          <w:tcPr>
            <w:tcW w:w="960" w:type="dxa"/>
            <w:tcBorders>
              <w:top w:val="single" w:sz="4" w:space="0" w:color="auto"/>
              <w:left w:val="single" w:sz="4" w:space="0" w:color="auto"/>
              <w:bottom w:val="single" w:sz="4" w:space="0" w:color="auto"/>
              <w:right w:val="single" w:sz="4" w:space="0" w:color="auto"/>
            </w:tcBorders>
            <w:shd w:val="clear" w:color="000000" w:fill="6BC17D"/>
            <w:noWrap/>
            <w:vAlign w:val="bottom"/>
            <w:hideMark/>
          </w:tcPr>
          <w:p w14:paraId="19385CE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64.6%</w:t>
            </w:r>
          </w:p>
        </w:tc>
      </w:tr>
      <w:tr w:rsidR="00D666B5" w:rsidRPr="00902009" w14:paraId="1FF9CA64"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1238F26E"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Lee Vining</w:t>
            </w:r>
          </w:p>
        </w:tc>
        <w:tc>
          <w:tcPr>
            <w:tcW w:w="960" w:type="dxa"/>
            <w:tcBorders>
              <w:top w:val="single" w:sz="4" w:space="0" w:color="auto"/>
              <w:left w:val="single" w:sz="4" w:space="0" w:color="auto"/>
              <w:bottom w:val="single" w:sz="4" w:space="0" w:color="auto"/>
              <w:right w:val="single" w:sz="4" w:space="0" w:color="auto"/>
            </w:tcBorders>
            <w:shd w:val="clear" w:color="000000" w:fill="EEEA99"/>
            <w:noWrap/>
            <w:vAlign w:val="bottom"/>
            <w:hideMark/>
          </w:tcPr>
          <w:p w14:paraId="2DB925E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11.6%</w:t>
            </w:r>
          </w:p>
        </w:tc>
        <w:tc>
          <w:tcPr>
            <w:tcW w:w="960" w:type="dxa"/>
            <w:tcBorders>
              <w:top w:val="single" w:sz="4" w:space="0" w:color="auto"/>
              <w:left w:val="single" w:sz="4" w:space="0" w:color="auto"/>
              <w:bottom w:val="single" w:sz="4" w:space="0" w:color="auto"/>
              <w:right w:val="single" w:sz="4" w:space="0" w:color="auto"/>
            </w:tcBorders>
            <w:shd w:val="clear" w:color="000000" w:fill="CCDF92"/>
            <w:noWrap/>
            <w:vAlign w:val="bottom"/>
            <w:hideMark/>
          </w:tcPr>
          <w:p w14:paraId="32EED9E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50.6%</w:t>
            </w:r>
          </w:p>
        </w:tc>
        <w:tc>
          <w:tcPr>
            <w:tcW w:w="960" w:type="dxa"/>
            <w:tcBorders>
              <w:top w:val="single" w:sz="4" w:space="0" w:color="auto"/>
              <w:left w:val="single" w:sz="4" w:space="0" w:color="auto"/>
              <w:bottom w:val="single" w:sz="4" w:space="0" w:color="auto"/>
              <w:right w:val="single" w:sz="4" w:space="0" w:color="auto"/>
            </w:tcBorders>
            <w:shd w:val="clear" w:color="000000" w:fill="97CF86"/>
            <w:noWrap/>
            <w:vAlign w:val="bottom"/>
            <w:hideMark/>
          </w:tcPr>
          <w:p w14:paraId="1029DFA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49.4%</w:t>
            </w:r>
          </w:p>
        </w:tc>
        <w:tc>
          <w:tcPr>
            <w:tcW w:w="960" w:type="dxa"/>
            <w:tcBorders>
              <w:top w:val="single" w:sz="4" w:space="0" w:color="auto"/>
              <w:left w:val="single" w:sz="4" w:space="0" w:color="auto"/>
              <w:bottom w:val="single" w:sz="4" w:space="0" w:color="auto"/>
              <w:right w:val="single" w:sz="4" w:space="0" w:color="auto"/>
            </w:tcBorders>
            <w:shd w:val="clear" w:color="000000" w:fill="DEE595"/>
            <w:noWrap/>
            <w:vAlign w:val="bottom"/>
            <w:hideMark/>
          </w:tcPr>
          <w:p w14:paraId="31763C7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24.1%</w:t>
            </w:r>
          </w:p>
        </w:tc>
      </w:tr>
      <w:tr w:rsidR="00D666B5" w:rsidRPr="00902009" w14:paraId="667FC0CB"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4CD62429"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Mono City</w:t>
            </w:r>
          </w:p>
        </w:tc>
        <w:tc>
          <w:tcPr>
            <w:tcW w:w="960" w:type="dxa"/>
            <w:tcBorders>
              <w:top w:val="single" w:sz="4" w:space="0" w:color="auto"/>
              <w:left w:val="single" w:sz="4" w:space="0" w:color="auto"/>
              <w:bottom w:val="single" w:sz="4" w:space="0" w:color="auto"/>
              <w:right w:val="single" w:sz="4" w:space="0" w:color="auto"/>
            </w:tcBorders>
            <w:shd w:val="clear" w:color="000000" w:fill="B9D98E"/>
            <w:noWrap/>
            <w:vAlign w:val="bottom"/>
            <w:hideMark/>
          </w:tcPr>
          <w:p w14:paraId="4E361DD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29.8%</w:t>
            </w:r>
          </w:p>
        </w:tc>
        <w:tc>
          <w:tcPr>
            <w:tcW w:w="960" w:type="dxa"/>
            <w:tcBorders>
              <w:top w:val="single" w:sz="4" w:space="0" w:color="auto"/>
              <w:left w:val="single" w:sz="4" w:space="0" w:color="auto"/>
              <w:bottom w:val="single" w:sz="4" w:space="0" w:color="auto"/>
              <w:right w:val="single" w:sz="4" w:space="0" w:color="auto"/>
            </w:tcBorders>
            <w:shd w:val="clear" w:color="000000" w:fill="9CD087"/>
            <w:noWrap/>
            <w:vAlign w:val="bottom"/>
            <w:hideMark/>
          </w:tcPr>
          <w:p w14:paraId="0D22F4D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71.4%</w:t>
            </w:r>
          </w:p>
        </w:tc>
        <w:tc>
          <w:tcPr>
            <w:tcW w:w="960" w:type="dxa"/>
            <w:tcBorders>
              <w:top w:val="single" w:sz="4" w:space="0" w:color="auto"/>
              <w:left w:val="single" w:sz="4" w:space="0" w:color="auto"/>
              <w:bottom w:val="single" w:sz="4" w:space="0" w:color="auto"/>
              <w:right w:val="single" w:sz="4" w:space="0" w:color="auto"/>
            </w:tcBorders>
            <w:shd w:val="clear" w:color="000000" w:fill="C7DE91"/>
            <w:noWrap/>
            <w:vAlign w:val="bottom"/>
            <w:hideMark/>
          </w:tcPr>
          <w:p w14:paraId="1117464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28.6%</w:t>
            </w:r>
          </w:p>
        </w:tc>
        <w:tc>
          <w:tcPr>
            <w:tcW w:w="960" w:type="dxa"/>
            <w:tcBorders>
              <w:top w:val="single" w:sz="4" w:space="0" w:color="auto"/>
              <w:left w:val="single" w:sz="4" w:space="0" w:color="auto"/>
              <w:bottom w:val="single" w:sz="4" w:space="0" w:color="auto"/>
              <w:right w:val="single" w:sz="4" w:space="0" w:color="auto"/>
            </w:tcBorders>
            <w:shd w:val="clear" w:color="000000" w:fill="C5DD90"/>
            <w:noWrap/>
            <w:vAlign w:val="bottom"/>
            <w:hideMark/>
          </w:tcPr>
          <w:p w14:paraId="44F0D74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33.0%</w:t>
            </w:r>
          </w:p>
        </w:tc>
      </w:tr>
      <w:tr w:rsidR="00D666B5" w:rsidRPr="00902009" w14:paraId="71E8E2DA"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4E140B34"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Bridgeport</w:t>
            </w:r>
          </w:p>
        </w:tc>
        <w:tc>
          <w:tcPr>
            <w:tcW w:w="960" w:type="dxa"/>
            <w:tcBorders>
              <w:top w:val="single" w:sz="4" w:space="0" w:color="auto"/>
              <w:left w:val="single" w:sz="4" w:space="0" w:color="auto"/>
              <w:bottom w:val="single" w:sz="4" w:space="0" w:color="auto"/>
              <w:right w:val="single" w:sz="4" w:space="0" w:color="auto"/>
            </w:tcBorders>
            <w:shd w:val="clear" w:color="000000" w:fill="E9E998"/>
            <w:noWrap/>
            <w:vAlign w:val="bottom"/>
            <w:hideMark/>
          </w:tcPr>
          <w:p w14:paraId="71FEB37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13.2%</w:t>
            </w:r>
          </w:p>
        </w:tc>
        <w:tc>
          <w:tcPr>
            <w:tcW w:w="960" w:type="dxa"/>
            <w:tcBorders>
              <w:top w:val="single" w:sz="4" w:space="0" w:color="auto"/>
              <w:left w:val="single" w:sz="4" w:space="0" w:color="auto"/>
              <w:bottom w:val="single" w:sz="4" w:space="0" w:color="auto"/>
              <w:right w:val="single" w:sz="4" w:space="0" w:color="auto"/>
            </w:tcBorders>
            <w:shd w:val="clear" w:color="000000" w:fill="B1D78C"/>
            <w:noWrap/>
            <w:vAlign w:val="bottom"/>
            <w:hideMark/>
          </w:tcPr>
          <w:p w14:paraId="5337B37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62.3%</w:t>
            </w:r>
          </w:p>
        </w:tc>
        <w:tc>
          <w:tcPr>
            <w:tcW w:w="960" w:type="dxa"/>
            <w:tcBorders>
              <w:top w:val="single" w:sz="4" w:space="0" w:color="auto"/>
              <w:left w:val="single" w:sz="4" w:space="0" w:color="auto"/>
              <w:bottom w:val="single" w:sz="4" w:space="0" w:color="auto"/>
              <w:right w:val="single" w:sz="4" w:space="0" w:color="auto"/>
            </w:tcBorders>
            <w:shd w:val="clear" w:color="000000" w:fill="B2D78C"/>
            <w:noWrap/>
            <w:vAlign w:val="bottom"/>
            <w:hideMark/>
          </w:tcPr>
          <w:p w14:paraId="1AEC06B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37.7%</w:t>
            </w:r>
          </w:p>
        </w:tc>
        <w:tc>
          <w:tcPr>
            <w:tcW w:w="960" w:type="dxa"/>
            <w:tcBorders>
              <w:top w:val="single" w:sz="4" w:space="0" w:color="auto"/>
              <w:left w:val="single" w:sz="4" w:space="0" w:color="auto"/>
              <w:bottom w:val="single" w:sz="4" w:space="0" w:color="auto"/>
              <w:right w:val="single" w:sz="4" w:space="0" w:color="auto"/>
            </w:tcBorders>
            <w:shd w:val="clear" w:color="000000" w:fill="D3E293"/>
            <w:noWrap/>
            <w:vAlign w:val="bottom"/>
            <w:hideMark/>
          </w:tcPr>
          <w:p w14:paraId="6BCB50D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28.0%</w:t>
            </w:r>
          </w:p>
        </w:tc>
      </w:tr>
      <w:tr w:rsidR="00D666B5" w:rsidRPr="00902009" w14:paraId="2EAD1141"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0E53BF8E"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Walker</w:t>
            </w:r>
          </w:p>
        </w:tc>
        <w:tc>
          <w:tcPr>
            <w:tcW w:w="960" w:type="dxa"/>
            <w:tcBorders>
              <w:top w:val="single" w:sz="4" w:space="0" w:color="auto"/>
              <w:left w:val="single" w:sz="4" w:space="0" w:color="auto"/>
              <w:bottom w:val="single" w:sz="4" w:space="0" w:color="auto"/>
              <w:right w:val="single" w:sz="4" w:space="0" w:color="auto"/>
            </w:tcBorders>
            <w:shd w:val="clear" w:color="000000" w:fill="F0EB99"/>
            <w:noWrap/>
            <w:vAlign w:val="bottom"/>
            <w:hideMark/>
          </w:tcPr>
          <w:p w14:paraId="3DE875E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10.8%</w:t>
            </w:r>
          </w:p>
        </w:tc>
        <w:tc>
          <w:tcPr>
            <w:tcW w:w="96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14:paraId="19FF745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69.0%</w:t>
            </w:r>
          </w:p>
        </w:tc>
        <w:tc>
          <w:tcPr>
            <w:tcW w:w="96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14:paraId="781FC0A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31.0%</w:t>
            </w:r>
          </w:p>
        </w:tc>
        <w:tc>
          <w:tcPr>
            <w:tcW w:w="960" w:type="dxa"/>
            <w:tcBorders>
              <w:top w:val="single" w:sz="4" w:space="0" w:color="auto"/>
              <w:left w:val="single" w:sz="4" w:space="0" w:color="auto"/>
              <w:bottom w:val="single" w:sz="4" w:space="0" w:color="auto"/>
              <w:right w:val="single" w:sz="4" w:space="0" w:color="auto"/>
            </w:tcBorders>
            <w:shd w:val="clear" w:color="000000" w:fill="DCE495"/>
            <w:noWrap/>
            <w:vAlign w:val="bottom"/>
            <w:hideMark/>
          </w:tcPr>
          <w:p w14:paraId="752F326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24.7%</w:t>
            </w:r>
          </w:p>
        </w:tc>
      </w:tr>
      <w:tr w:rsidR="00D666B5" w:rsidRPr="00902009" w14:paraId="0C136292"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407BA5E2"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Coleville</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2979C9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5.5%</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D5EAC8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0EDF2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71.9%</w:t>
            </w:r>
          </w:p>
        </w:tc>
        <w:tc>
          <w:tcPr>
            <w:tcW w:w="960" w:type="dxa"/>
            <w:tcBorders>
              <w:top w:val="single" w:sz="4" w:space="0" w:color="auto"/>
              <w:left w:val="single" w:sz="4" w:space="0" w:color="auto"/>
              <w:bottom w:val="single" w:sz="4" w:space="0" w:color="auto"/>
              <w:right w:val="single" w:sz="4" w:space="0" w:color="auto"/>
            </w:tcBorders>
            <w:shd w:val="clear" w:color="000000" w:fill="F8ED9B"/>
            <w:noWrap/>
            <w:vAlign w:val="bottom"/>
            <w:hideMark/>
          </w:tcPr>
          <w:p w14:paraId="29931ED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14.9%</w:t>
            </w:r>
          </w:p>
        </w:tc>
      </w:tr>
      <w:tr w:rsidR="00D666B5" w:rsidRPr="00902009" w14:paraId="17A952D7"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5EB9388E"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Topaz</w:t>
            </w:r>
          </w:p>
        </w:tc>
        <w:tc>
          <w:tcPr>
            <w:tcW w:w="960" w:type="dxa"/>
            <w:tcBorders>
              <w:top w:val="single" w:sz="4" w:space="0" w:color="auto"/>
              <w:left w:val="single" w:sz="4" w:space="0" w:color="auto"/>
              <w:bottom w:val="single" w:sz="4" w:space="0" w:color="auto"/>
              <w:right w:val="single" w:sz="4" w:space="0" w:color="auto"/>
            </w:tcBorders>
            <w:shd w:val="clear" w:color="000000" w:fill="BDDB8E"/>
            <w:noWrap/>
            <w:vAlign w:val="bottom"/>
            <w:hideMark/>
          </w:tcPr>
          <w:p w14:paraId="02BB7E4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28.6%</w:t>
            </w:r>
          </w:p>
        </w:tc>
        <w:tc>
          <w:tcPr>
            <w:tcW w:w="960" w:type="dxa"/>
            <w:tcBorders>
              <w:top w:val="single" w:sz="4" w:space="0" w:color="auto"/>
              <w:left w:val="single" w:sz="4" w:space="0" w:color="auto"/>
              <w:bottom w:val="single" w:sz="4" w:space="0" w:color="auto"/>
              <w:right w:val="single" w:sz="4" w:space="0" w:color="auto"/>
            </w:tcBorders>
            <w:shd w:val="clear" w:color="000000" w:fill="B2D78C"/>
            <w:noWrap/>
            <w:vAlign w:val="bottom"/>
            <w:hideMark/>
          </w:tcPr>
          <w:p w14:paraId="6DE8F3D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61.9%</w:t>
            </w:r>
          </w:p>
        </w:tc>
        <w:tc>
          <w:tcPr>
            <w:tcW w:w="960" w:type="dxa"/>
            <w:tcBorders>
              <w:top w:val="single" w:sz="4" w:space="0" w:color="auto"/>
              <w:left w:val="single" w:sz="4" w:space="0" w:color="auto"/>
              <w:bottom w:val="single" w:sz="4" w:space="0" w:color="auto"/>
              <w:right w:val="single" w:sz="4" w:space="0" w:color="auto"/>
            </w:tcBorders>
            <w:shd w:val="clear" w:color="000000" w:fill="B1D78C"/>
            <w:noWrap/>
            <w:vAlign w:val="bottom"/>
            <w:hideMark/>
          </w:tcPr>
          <w:p w14:paraId="1CE03F5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38.1%</w:t>
            </w:r>
          </w:p>
        </w:tc>
        <w:tc>
          <w:tcPr>
            <w:tcW w:w="960" w:type="dxa"/>
            <w:tcBorders>
              <w:top w:val="single" w:sz="4" w:space="0" w:color="auto"/>
              <w:left w:val="single" w:sz="4" w:space="0" w:color="auto"/>
              <w:bottom w:val="single" w:sz="4" w:space="0" w:color="auto"/>
              <w:right w:val="single" w:sz="4" w:space="0" w:color="auto"/>
            </w:tcBorders>
            <w:shd w:val="clear" w:color="000000" w:fill="95CE86"/>
            <w:noWrap/>
            <w:vAlign w:val="bottom"/>
            <w:hideMark/>
          </w:tcPr>
          <w:p w14:paraId="61EB36F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50.0%</w:t>
            </w:r>
          </w:p>
        </w:tc>
      </w:tr>
      <w:tr w:rsidR="00D666B5" w:rsidRPr="00902009" w14:paraId="24AE9F27"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55DBCE28"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6C80BC6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21C7CC0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08E9F21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1F9513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2F38C69F"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5A1C56A9"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Total of CDPs</w:t>
            </w:r>
          </w:p>
        </w:tc>
        <w:tc>
          <w:tcPr>
            <w:tcW w:w="960"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14:paraId="0C3573C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26.3%</w:t>
            </w:r>
          </w:p>
        </w:tc>
        <w:tc>
          <w:tcPr>
            <w:tcW w:w="960"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14:paraId="79A75FB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68.6%</w:t>
            </w:r>
          </w:p>
        </w:tc>
        <w:tc>
          <w:tcPr>
            <w:tcW w:w="96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14:paraId="2510328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31.4%</w:t>
            </w:r>
          </w:p>
        </w:tc>
        <w:tc>
          <w:tcPr>
            <w:tcW w:w="960" w:type="dxa"/>
            <w:tcBorders>
              <w:top w:val="single" w:sz="4" w:space="0" w:color="auto"/>
              <w:left w:val="single" w:sz="4" w:space="0" w:color="auto"/>
              <w:bottom w:val="single" w:sz="4" w:space="0" w:color="auto"/>
              <w:right w:val="single" w:sz="4" w:space="0" w:color="auto"/>
            </w:tcBorders>
            <w:shd w:val="clear" w:color="000000" w:fill="C1DC8F"/>
            <w:noWrap/>
            <w:vAlign w:val="bottom"/>
            <w:hideMark/>
          </w:tcPr>
          <w:p w14:paraId="796EEAF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34.4%</w:t>
            </w:r>
          </w:p>
        </w:tc>
      </w:tr>
      <w:tr w:rsidR="00D666B5" w:rsidRPr="00902009" w14:paraId="73B00FE1"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302880ED"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1CE6E2A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609229B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62570D6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0AACE1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5EC2E107"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445E234C"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CDPs + Town</w:t>
            </w:r>
          </w:p>
        </w:tc>
        <w:tc>
          <w:tcPr>
            <w:tcW w:w="960" w:type="dxa"/>
            <w:tcBorders>
              <w:top w:val="single" w:sz="4" w:space="0" w:color="auto"/>
              <w:left w:val="single" w:sz="4" w:space="0" w:color="auto"/>
              <w:bottom w:val="single" w:sz="4" w:space="0" w:color="auto"/>
              <w:right w:val="single" w:sz="4" w:space="0" w:color="auto"/>
            </w:tcBorders>
            <w:shd w:val="clear" w:color="000000" w:fill="8ECC84"/>
            <w:noWrap/>
            <w:vAlign w:val="bottom"/>
            <w:hideMark/>
          </w:tcPr>
          <w:p w14:paraId="6A7CFE7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45.0%</w:t>
            </w:r>
          </w:p>
        </w:tc>
        <w:tc>
          <w:tcPr>
            <w:tcW w:w="960" w:type="dxa"/>
            <w:tcBorders>
              <w:top w:val="single" w:sz="4" w:space="0" w:color="auto"/>
              <w:left w:val="single" w:sz="4" w:space="0" w:color="auto"/>
              <w:bottom w:val="single" w:sz="4" w:space="0" w:color="auto"/>
              <w:right w:val="single" w:sz="4" w:space="0" w:color="auto"/>
            </w:tcBorders>
            <w:shd w:val="clear" w:color="000000" w:fill="C0DC8F"/>
            <w:noWrap/>
            <w:vAlign w:val="bottom"/>
            <w:hideMark/>
          </w:tcPr>
          <w:p w14:paraId="583BE01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55.6%</w:t>
            </w:r>
          </w:p>
        </w:tc>
        <w:tc>
          <w:tcPr>
            <w:tcW w:w="960"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14:paraId="0C11CF8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44.4%</w:t>
            </w:r>
          </w:p>
        </w:tc>
        <w:tc>
          <w:tcPr>
            <w:tcW w:w="960" w:type="dxa"/>
            <w:tcBorders>
              <w:top w:val="single" w:sz="4" w:space="0" w:color="auto"/>
              <w:left w:val="single" w:sz="4" w:space="0" w:color="auto"/>
              <w:bottom w:val="single" w:sz="4" w:space="0" w:color="auto"/>
              <w:right w:val="single" w:sz="4" w:space="0" w:color="auto"/>
            </w:tcBorders>
            <w:shd w:val="clear" w:color="000000" w:fill="7EC781"/>
            <w:noWrap/>
            <w:vAlign w:val="bottom"/>
            <w:hideMark/>
          </w:tcPr>
          <w:p w14:paraId="2252D50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58.0%</w:t>
            </w:r>
          </w:p>
        </w:tc>
      </w:tr>
      <w:tr w:rsidR="00D666B5" w:rsidRPr="00902009" w14:paraId="07619E1C"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753FBCEE"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293FEC2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14543B9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14:paraId="7E7FB18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3CA6A6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28D19435" w14:textId="77777777" w:rsidTr="00D666B5">
        <w:trPr>
          <w:trHeight w:val="300"/>
        </w:trPr>
        <w:tc>
          <w:tcPr>
            <w:tcW w:w="2033" w:type="dxa"/>
            <w:tcBorders>
              <w:top w:val="nil"/>
              <w:left w:val="single" w:sz="4" w:space="0" w:color="auto"/>
              <w:bottom w:val="single" w:sz="4" w:space="0" w:color="auto"/>
              <w:right w:val="nil"/>
            </w:tcBorders>
            <w:shd w:val="clear" w:color="auto" w:fill="auto"/>
            <w:noWrap/>
            <w:vAlign w:val="bottom"/>
            <w:hideMark/>
          </w:tcPr>
          <w:p w14:paraId="46FB48BA"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 - CDPs &amp; Town</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121D60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59.6%</w:t>
            </w:r>
          </w:p>
        </w:tc>
        <w:tc>
          <w:tcPr>
            <w:tcW w:w="960" w:type="dxa"/>
            <w:tcBorders>
              <w:top w:val="single" w:sz="4" w:space="0" w:color="auto"/>
              <w:left w:val="single" w:sz="4" w:space="0" w:color="auto"/>
              <w:bottom w:val="single" w:sz="4" w:space="0" w:color="auto"/>
              <w:right w:val="single" w:sz="4" w:space="0" w:color="auto"/>
            </w:tcBorders>
            <w:shd w:val="clear" w:color="000000" w:fill="B0D68C"/>
            <w:noWrap/>
            <w:vAlign w:val="bottom"/>
            <w:hideMark/>
          </w:tcPr>
          <w:p w14:paraId="7A1C5E7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62.8%</w:t>
            </w:r>
          </w:p>
        </w:tc>
        <w:tc>
          <w:tcPr>
            <w:tcW w:w="960" w:type="dxa"/>
            <w:tcBorders>
              <w:top w:val="single" w:sz="4" w:space="0" w:color="auto"/>
              <w:left w:val="single" w:sz="4" w:space="0" w:color="auto"/>
              <w:bottom w:val="single" w:sz="4" w:space="0" w:color="auto"/>
              <w:right w:val="single" w:sz="4" w:space="0" w:color="auto"/>
            </w:tcBorders>
            <w:shd w:val="clear" w:color="000000" w:fill="B3D88C"/>
            <w:noWrap/>
            <w:vAlign w:val="bottom"/>
            <w:hideMark/>
          </w:tcPr>
          <w:p w14:paraId="2D612DF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37.2%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2C0BE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67.3%</w:t>
            </w:r>
          </w:p>
        </w:tc>
      </w:tr>
    </w:tbl>
    <w:p w14:paraId="0B2F6F54" w14:textId="77777777" w:rsidR="00D666B5" w:rsidRPr="00902009" w:rsidRDefault="00D666B5" w:rsidP="00D666B5">
      <w:pPr>
        <w:spacing w:line="280" w:lineRule="atLeast"/>
      </w:pPr>
      <w:r w:rsidRPr="00902009">
        <w:t>Source: US Census 2010</w:t>
      </w:r>
    </w:p>
    <w:p w14:paraId="35CE943A" w14:textId="77777777" w:rsidR="00517621" w:rsidRPr="00517621" w:rsidRDefault="002E1FEA" w:rsidP="00EF449A">
      <w:pPr>
        <w:pStyle w:val="Heading3"/>
      </w:pPr>
      <w:bookmarkStart w:id="48" w:name="_Toc383699998"/>
      <w:r>
        <w:t xml:space="preserve">g. </w:t>
      </w:r>
      <w:r w:rsidR="00517621" w:rsidRPr="00517621">
        <w:t>OVERCROWDED HOUSEHOLDS</w:t>
      </w:r>
      <w:bookmarkEnd w:id="48"/>
      <w:r w:rsidR="00517621" w:rsidRPr="00517621">
        <w:fldChar w:fldCharType="begin"/>
      </w:r>
      <w:r w:rsidR="00517621" w:rsidRPr="00517621">
        <w:instrText xml:space="preserve"> TC"</w:instrText>
      </w:r>
      <w:bookmarkStart w:id="49" w:name="_Toc53806441"/>
      <w:bookmarkStart w:id="50" w:name="_Toc66156033"/>
      <w:bookmarkStart w:id="51" w:name="_Toc76443953"/>
      <w:bookmarkStart w:id="52" w:name="_Toc123887090"/>
      <w:r w:rsidR="00517621" w:rsidRPr="00517621">
        <w:instrText>Overcrowded Households</w:instrText>
      </w:r>
      <w:bookmarkEnd w:id="49"/>
      <w:bookmarkEnd w:id="50"/>
      <w:bookmarkEnd w:id="51"/>
      <w:bookmarkEnd w:id="52"/>
      <w:r w:rsidR="00517621" w:rsidRPr="00517621">
        <w:instrText xml:space="preserve">"\l 3 </w:instrText>
      </w:r>
      <w:r w:rsidR="00517621" w:rsidRPr="00517621">
        <w:fldChar w:fldCharType="end"/>
      </w:r>
    </w:p>
    <w:p w14:paraId="51193D13" w14:textId="77777777" w:rsidR="00517621" w:rsidRDefault="00517621" w:rsidP="00517621">
      <w:pPr>
        <w:spacing w:after="0" w:line="280" w:lineRule="atLeast"/>
        <w:jc w:val="both"/>
      </w:pPr>
      <w:r w:rsidRPr="00517621">
        <w:t>The U.S. Census Bureau defines an overcrowded household as a housing unit occupied by more than one person per room (not including kitchens and bathrooms). Units with more than 1.51 persons per room are considered severely overcrowded and indicate a significant housing need.  Overcrowding is not a significant housing situation in unincorporated Mono County. Using ACS data there were 47 overcrowded households, or 1.8 percent of the total households in the unincorporated area (Table 9). The statewide overcrowding rate for households in 2010 was 15.2 percent of all households, significantly higher than Mono County. Of the 47 overcrowded households, 57 percent were renters. This may indicate a disproportionate overcrowded situation for renters, however, overcrowded renter households represented only 2.5 percent of all renter households in the unincorporated area in 2010, significantly less than the statewide overcrowding rate for renters of 23.9 percent in 2010. Less than1 percent of all households in the unincorporated area were severely overcrowded in 2010. Of the 20 households identified as being severely overcrowded, 0 of them were owner households, all 20 were renter households.</w:t>
      </w:r>
    </w:p>
    <w:p w14:paraId="5048F118" w14:textId="77777777" w:rsidR="00517621" w:rsidRPr="00517621" w:rsidRDefault="00517621" w:rsidP="00517621">
      <w:pPr>
        <w:spacing w:after="0" w:line="280" w:lineRule="atLeast"/>
        <w:jc w:val="both"/>
      </w:pPr>
    </w:p>
    <w:p w14:paraId="195614D7" w14:textId="77777777" w:rsidR="00D666B5" w:rsidRPr="00902009" w:rsidRDefault="00D666B5" w:rsidP="00D666B5">
      <w:pPr>
        <w:spacing w:line="280" w:lineRule="atLeast"/>
        <w:jc w:val="both"/>
      </w:pPr>
      <w:r w:rsidRPr="00902009">
        <w:t>Table 9: Overcrowded Households, 2011</w:t>
      </w:r>
    </w:p>
    <w:tbl>
      <w:tblPr>
        <w:tblW w:w="3760" w:type="dxa"/>
        <w:tblLook w:val="04A0" w:firstRow="1" w:lastRow="0" w:firstColumn="1" w:lastColumn="0" w:noHBand="0" w:noVBand="1"/>
      </w:tblPr>
      <w:tblGrid>
        <w:gridCol w:w="2800"/>
        <w:gridCol w:w="960"/>
      </w:tblGrid>
      <w:tr w:rsidR="00D666B5" w:rsidRPr="00902009" w14:paraId="0408EAFC" w14:textId="77777777" w:rsidTr="00D666B5">
        <w:trPr>
          <w:trHeight w:val="231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A3DE5"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4D5401A"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Unincorporated County</w:t>
            </w:r>
          </w:p>
        </w:tc>
      </w:tr>
      <w:tr w:rsidR="00D666B5" w:rsidRPr="00902009" w14:paraId="492D5913" w14:textId="77777777"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52B683D"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4D4AC9D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2,609</w:t>
            </w:r>
          </w:p>
        </w:tc>
      </w:tr>
      <w:tr w:rsidR="00D666B5" w:rsidRPr="00902009" w14:paraId="6214DC97" w14:textId="77777777"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BBF1B4C"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Owner Occupied (OO)</w:t>
            </w:r>
          </w:p>
        </w:tc>
        <w:tc>
          <w:tcPr>
            <w:tcW w:w="960" w:type="dxa"/>
            <w:tcBorders>
              <w:top w:val="nil"/>
              <w:left w:val="nil"/>
              <w:bottom w:val="single" w:sz="4" w:space="0" w:color="auto"/>
              <w:right w:val="single" w:sz="4" w:space="0" w:color="auto"/>
            </w:tcBorders>
            <w:shd w:val="clear" w:color="auto" w:fill="auto"/>
            <w:noWrap/>
            <w:vAlign w:val="bottom"/>
            <w:hideMark/>
          </w:tcPr>
          <w:p w14:paraId="1D8713F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1,702</w:t>
            </w:r>
          </w:p>
        </w:tc>
      </w:tr>
      <w:tr w:rsidR="00D666B5" w:rsidRPr="00902009" w14:paraId="3B982EB0" w14:textId="77777777"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55F771A"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OO: .5 or less per room</w:t>
            </w:r>
          </w:p>
        </w:tc>
        <w:tc>
          <w:tcPr>
            <w:tcW w:w="960" w:type="dxa"/>
            <w:tcBorders>
              <w:top w:val="nil"/>
              <w:left w:val="nil"/>
              <w:bottom w:val="single" w:sz="4" w:space="0" w:color="auto"/>
              <w:right w:val="single" w:sz="4" w:space="0" w:color="auto"/>
            </w:tcBorders>
            <w:shd w:val="clear" w:color="auto" w:fill="auto"/>
            <w:noWrap/>
            <w:vAlign w:val="bottom"/>
            <w:hideMark/>
          </w:tcPr>
          <w:p w14:paraId="4A69100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1,300</w:t>
            </w:r>
          </w:p>
        </w:tc>
      </w:tr>
      <w:tr w:rsidR="00D666B5" w:rsidRPr="00902009" w14:paraId="648FFC4D" w14:textId="77777777"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843E97B"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OO: .5-1 per room</w:t>
            </w:r>
          </w:p>
        </w:tc>
        <w:tc>
          <w:tcPr>
            <w:tcW w:w="960" w:type="dxa"/>
            <w:tcBorders>
              <w:top w:val="nil"/>
              <w:left w:val="nil"/>
              <w:bottom w:val="single" w:sz="4" w:space="0" w:color="auto"/>
              <w:right w:val="single" w:sz="4" w:space="0" w:color="auto"/>
            </w:tcBorders>
            <w:shd w:val="clear" w:color="auto" w:fill="auto"/>
            <w:noWrap/>
            <w:vAlign w:val="bottom"/>
            <w:hideMark/>
          </w:tcPr>
          <w:p w14:paraId="406101D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375</w:t>
            </w:r>
          </w:p>
        </w:tc>
      </w:tr>
      <w:tr w:rsidR="00D666B5" w:rsidRPr="00902009" w14:paraId="370B2019" w14:textId="77777777" w:rsidTr="00D666B5">
        <w:trPr>
          <w:trHeight w:val="300"/>
        </w:trPr>
        <w:tc>
          <w:tcPr>
            <w:tcW w:w="2800" w:type="dxa"/>
            <w:tcBorders>
              <w:top w:val="nil"/>
              <w:left w:val="single" w:sz="4" w:space="0" w:color="auto"/>
              <w:bottom w:val="single" w:sz="4" w:space="0" w:color="auto"/>
              <w:right w:val="single" w:sz="4" w:space="0" w:color="auto"/>
            </w:tcBorders>
            <w:shd w:val="clear" w:color="000000" w:fill="FFFF00"/>
            <w:noWrap/>
            <w:vAlign w:val="bottom"/>
            <w:hideMark/>
          </w:tcPr>
          <w:p w14:paraId="02CF1175"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OO: 1-1.5 per room</w:t>
            </w:r>
          </w:p>
        </w:tc>
        <w:tc>
          <w:tcPr>
            <w:tcW w:w="960" w:type="dxa"/>
            <w:tcBorders>
              <w:top w:val="nil"/>
              <w:left w:val="nil"/>
              <w:bottom w:val="single" w:sz="4" w:space="0" w:color="auto"/>
              <w:right w:val="single" w:sz="4" w:space="0" w:color="auto"/>
            </w:tcBorders>
            <w:shd w:val="clear" w:color="000000" w:fill="FFFF00"/>
            <w:noWrap/>
            <w:vAlign w:val="bottom"/>
            <w:hideMark/>
          </w:tcPr>
          <w:p w14:paraId="5CDD762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27</w:t>
            </w:r>
          </w:p>
        </w:tc>
      </w:tr>
      <w:tr w:rsidR="00D666B5" w:rsidRPr="00902009" w14:paraId="78390DFD" w14:textId="77777777" w:rsidTr="00D666B5">
        <w:trPr>
          <w:trHeight w:val="300"/>
        </w:trPr>
        <w:tc>
          <w:tcPr>
            <w:tcW w:w="2800" w:type="dxa"/>
            <w:tcBorders>
              <w:top w:val="nil"/>
              <w:left w:val="single" w:sz="4" w:space="0" w:color="auto"/>
              <w:bottom w:val="single" w:sz="4" w:space="0" w:color="auto"/>
              <w:right w:val="single" w:sz="4" w:space="0" w:color="auto"/>
            </w:tcBorders>
            <w:shd w:val="clear" w:color="000000" w:fill="FFC000"/>
            <w:noWrap/>
            <w:vAlign w:val="bottom"/>
            <w:hideMark/>
          </w:tcPr>
          <w:p w14:paraId="40DB2CB5"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OO: 1.5-2 per room</w:t>
            </w:r>
          </w:p>
        </w:tc>
        <w:tc>
          <w:tcPr>
            <w:tcW w:w="960" w:type="dxa"/>
            <w:tcBorders>
              <w:top w:val="nil"/>
              <w:left w:val="nil"/>
              <w:bottom w:val="single" w:sz="4" w:space="0" w:color="auto"/>
              <w:right w:val="single" w:sz="4" w:space="0" w:color="auto"/>
            </w:tcBorders>
            <w:shd w:val="clear" w:color="000000" w:fill="FFC000"/>
            <w:noWrap/>
            <w:vAlign w:val="bottom"/>
            <w:hideMark/>
          </w:tcPr>
          <w:p w14:paraId="334EFC7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14:paraId="696B3D9C" w14:textId="77777777" w:rsidTr="00D666B5">
        <w:trPr>
          <w:trHeight w:val="300"/>
        </w:trPr>
        <w:tc>
          <w:tcPr>
            <w:tcW w:w="2800" w:type="dxa"/>
            <w:tcBorders>
              <w:top w:val="nil"/>
              <w:left w:val="single" w:sz="4" w:space="0" w:color="auto"/>
              <w:bottom w:val="single" w:sz="4" w:space="0" w:color="auto"/>
              <w:right w:val="single" w:sz="4" w:space="0" w:color="auto"/>
            </w:tcBorders>
            <w:shd w:val="clear" w:color="000000" w:fill="FF0000"/>
            <w:noWrap/>
            <w:vAlign w:val="bottom"/>
            <w:hideMark/>
          </w:tcPr>
          <w:p w14:paraId="3FDAA729"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OO: 2+ per room</w:t>
            </w:r>
          </w:p>
        </w:tc>
        <w:tc>
          <w:tcPr>
            <w:tcW w:w="960" w:type="dxa"/>
            <w:tcBorders>
              <w:top w:val="nil"/>
              <w:left w:val="nil"/>
              <w:bottom w:val="single" w:sz="4" w:space="0" w:color="auto"/>
              <w:right w:val="single" w:sz="4" w:space="0" w:color="auto"/>
            </w:tcBorders>
            <w:shd w:val="clear" w:color="000000" w:fill="FF0000"/>
            <w:noWrap/>
            <w:vAlign w:val="bottom"/>
            <w:hideMark/>
          </w:tcPr>
          <w:p w14:paraId="424B9A4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14:paraId="1177372C" w14:textId="77777777"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2276801"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Renter Occupied (RO)</w:t>
            </w:r>
          </w:p>
        </w:tc>
        <w:tc>
          <w:tcPr>
            <w:tcW w:w="960" w:type="dxa"/>
            <w:tcBorders>
              <w:top w:val="nil"/>
              <w:left w:val="nil"/>
              <w:bottom w:val="single" w:sz="4" w:space="0" w:color="auto"/>
              <w:right w:val="single" w:sz="4" w:space="0" w:color="auto"/>
            </w:tcBorders>
            <w:shd w:val="clear" w:color="auto" w:fill="auto"/>
            <w:noWrap/>
            <w:vAlign w:val="bottom"/>
            <w:hideMark/>
          </w:tcPr>
          <w:p w14:paraId="4CCDE28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907</w:t>
            </w:r>
          </w:p>
        </w:tc>
      </w:tr>
      <w:tr w:rsidR="00D666B5" w:rsidRPr="00902009" w14:paraId="36E8F7AB" w14:textId="77777777"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58C5154"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RO: .5 or less per room</w:t>
            </w:r>
          </w:p>
        </w:tc>
        <w:tc>
          <w:tcPr>
            <w:tcW w:w="960" w:type="dxa"/>
            <w:tcBorders>
              <w:top w:val="nil"/>
              <w:left w:val="nil"/>
              <w:bottom w:val="single" w:sz="4" w:space="0" w:color="auto"/>
              <w:right w:val="single" w:sz="4" w:space="0" w:color="auto"/>
            </w:tcBorders>
            <w:shd w:val="clear" w:color="auto" w:fill="auto"/>
            <w:noWrap/>
            <w:vAlign w:val="bottom"/>
            <w:hideMark/>
          </w:tcPr>
          <w:p w14:paraId="1318BBCA"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479</w:t>
            </w:r>
          </w:p>
        </w:tc>
      </w:tr>
      <w:tr w:rsidR="00D666B5" w:rsidRPr="00902009" w14:paraId="0017BDAF" w14:textId="77777777" w:rsidTr="00D666B5">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272394F"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RO: .5-1 per room</w:t>
            </w:r>
          </w:p>
        </w:tc>
        <w:tc>
          <w:tcPr>
            <w:tcW w:w="960" w:type="dxa"/>
            <w:tcBorders>
              <w:top w:val="nil"/>
              <w:left w:val="nil"/>
              <w:bottom w:val="single" w:sz="4" w:space="0" w:color="auto"/>
              <w:right w:val="single" w:sz="4" w:space="0" w:color="auto"/>
            </w:tcBorders>
            <w:shd w:val="clear" w:color="auto" w:fill="auto"/>
            <w:noWrap/>
            <w:vAlign w:val="bottom"/>
            <w:hideMark/>
          </w:tcPr>
          <w:p w14:paraId="130D4B8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408</w:t>
            </w:r>
          </w:p>
        </w:tc>
      </w:tr>
      <w:tr w:rsidR="00D666B5" w:rsidRPr="00902009" w14:paraId="7C5ADAF4" w14:textId="77777777" w:rsidTr="00D666B5">
        <w:trPr>
          <w:trHeight w:val="300"/>
        </w:trPr>
        <w:tc>
          <w:tcPr>
            <w:tcW w:w="2800" w:type="dxa"/>
            <w:tcBorders>
              <w:top w:val="nil"/>
              <w:left w:val="single" w:sz="4" w:space="0" w:color="auto"/>
              <w:bottom w:val="single" w:sz="4" w:space="0" w:color="auto"/>
              <w:right w:val="single" w:sz="4" w:space="0" w:color="auto"/>
            </w:tcBorders>
            <w:shd w:val="clear" w:color="000000" w:fill="FFFF00"/>
            <w:noWrap/>
            <w:vAlign w:val="bottom"/>
            <w:hideMark/>
          </w:tcPr>
          <w:p w14:paraId="29D4A02B"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RO: 1-1.5 per room</w:t>
            </w:r>
          </w:p>
        </w:tc>
        <w:tc>
          <w:tcPr>
            <w:tcW w:w="960" w:type="dxa"/>
            <w:tcBorders>
              <w:top w:val="nil"/>
              <w:left w:val="nil"/>
              <w:bottom w:val="single" w:sz="4" w:space="0" w:color="auto"/>
              <w:right w:val="single" w:sz="4" w:space="0" w:color="auto"/>
            </w:tcBorders>
            <w:shd w:val="clear" w:color="000000" w:fill="FFFF00"/>
            <w:noWrap/>
            <w:vAlign w:val="bottom"/>
            <w:hideMark/>
          </w:tcPr>
          <w:p w14:paraId="5D1150E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r w:rsidR="00D666B5" w:rsidRPr="00902009" w14:paraId="05639830" w14:textId="77777777" w:rsidTr="00D666B5">
        <w:trPr>
          <w:trHeight w:val="300"/>
        </w:trPr>
        <w:tc>
          <w:tcPr>
            <w:tcW w:w="2800" w:type="dxa"/>
            <w:tcBorders>
              <w:top w:val="nil"/>
              <w:left w:val="single" w:sz="4" w:space="0" w:color="auto"/>
              <w:bottom w:val="single" w:sz="4" w:space="0" w:color="auto"/>
              <w:right w:val="single" w:sz="4" w:space="0" w:color="auto"/>
            </w:tcBorders>
            <w:shd w:val="clear" w:color="000000" w:fill="FFC000"/>
            <w:noWrap/>
            <w:vAlign w:val="bottom"/>
            <w:hideMark/>
          </w:tcPr>
          <w:p w14:paraId="448EC5B1"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RO: 1.5-2 per room</w:t>
            </w:r>
          </w:p>
        </w:tc>
        <w:tc>
          <w:tcPr>
            <w:tcW w:w="960" w:type="dxa"/>
            <w:tcBorders>
              <w:top w:val="nil"/>
              <w:left w:val="nil"/>
              <w:bottom w:val="single" w:sz="4" w:space="0" w:color="auto"/>
              <w:right w:val="single" w:sz="4" w:space="0" w:color="auto"/>
            </w:tcBorders>
            <w:shd w:val="clear" w:color="000000" w:fill="FFC000"/>
            <w:noWrap/>
            <w:vAlign w:val="bottom"/>
            <w:hideMark/>
          </w:tcPr>
          <w:p w14:paraId="3442E54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20</w:t>
            </w:r>
          </w:p>
        </w:tc>
      </w:tr>
      <w:tr w:rsidR="00D666B5" w:rsidRPr="00902009" w14:paraId="393BBCCA" w14:textId="77777777" w:rsidTr="00D666B5">
        <w:trPr>
          <w:trHeight w:val="300"/>
        </w:trPr>
        <w:tc>
          <w:tcPr>
            <w:tcW w:w="2800" w:type="dxa"/>
            <w:tcBorders>
              <w:top w:val="nil"/>
              <w:left w:val="single" w:sz="4" w:space="0" w:color="auto"/>
              <w:bottom w:val="single" w:sz="4" w:space="0" w:color="auto"/>
              <w:right w:val="single" w:sz="4" w:space="0" w:color="auto"/>
            </w:tcBorders>
            <w:shd w:val="clear" w:color="000000" w:fill="FF0000"/>
            <w:noWrap/>
            <w:vAlign w:val="bottom"/>
            <w:hideMark/>
          </w:tcPr>
          <w:p w14:paraId="58D21B6A"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RO: 2+ per room</w:t>
            </w:r>
          </w:p>
        </w:tc>
        <w:tc>
          <w:tcPr>
            <w:tcW w:w="960" w:type="dxa"/>
            <w:tcBorders>
              <w:top w:val="nil"/>
              <w:left w:val="nil"/>
              <w:bottom w:val="single" w:sz="4" w:space="0" w:color="auto"/>
              <w:right w:val="single" w:sz="4" w:space="0" w:color="auto"/>
            </w:tcBorders>
            <w:shd w:val="clear" w:color="000000" w:fill="FF0000"/>
            <w:noWrap/>
            <w:vAlign w:val="bottom"/>
            <w:hideMark/>
          </w:tcPr>
          <w:p w14:paraId="0F72914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0</w:t>
            </w:r>
          </w:p>
        </w:tc>
      </w:tr>
    </w:tbl>
    <w:p w14:paraId="43C6581D" w14:textId="77777777" w:rsidR="00D666B5" w:rsidRPr="00902009" w:rsidRDefault="00D666B5" w:rsidP="00D666B5">
      <w:pPr>
        <w:spacing w:line="280" w:lineRule="atLeast"/>
        <w:jc w:val="both"/>
      </w:pPr>
      <w:r w:rsidRPr="00902009">
        <w:t>Source: ACS 2007-2011</w:t>
      </w:r>
    </w:p>
    <w:p w14:paraId="2B2F3C5C" w14:textId="77777777" w:rsidR="00517621" w:rsidRPr="00517621" w:rsidRDefault="002E1FEA" w:rsidP="00EF449A">
      <w:pPr>
        <w:pStyle w:val="Heading3"/>
      </w:pPr>
      <w:bookmarkStart w:id="53" w:name="_Toc383699999"/>
      <w:r>
        <w:t xml:space="preserve">h. </w:t>
      </w:r>
      <w:r w:rsidR="00517621" w:rsidRPr="00517621">
        <w:t>EXTREMELY LOW-INCOME HOUSEHOLDS</w:t>
      </w:r>
      <w:bookmarkEnd w:id="53"/>
      <w:r w:rsidR="00517621" w:rsidRPr="00517621">
        <w:fldChar w:fldCharType="begin"/>
      </w:r>
      <w:r w:rsidR="00517621" w:rsidRPr="00517621">
        <w:instrText xml:space="preserve"> TC"</w:instrText>
      </w:r>
      <w:bookmarkStart w:id="54" w:name="_Toc123887091"/>
      <w:r w:rsidR="00517621" w:rsidRPr="00517621">
        <w:instrText>Extremely Low-Income Households</w:instrText>
      </w:r>
      <w:bookmarkEnd w:id="54"/>
      <w:r w:rsidR="00517621" w:rsidRPr="00517621">
        <w:instrText xml:space="preserve">"\l 3 </w:instrText>
      </w:r>
      <w:r w:rsidR="00517621" w:rsidRPr="00517621">
        <w:fldChar w:fldCharType="end"/>
      </w:r>
    </w:p>
    <w:p w14:paraId="4E2B5782" w14:textId="77777777" w:rsidR="00517621" w:rsidRPr="00517621" w:rsidRDefault="00517621" w:rsidP="00517621">
      <w:pPr>
        <w:spacing w:after="0" w:line="280" w:lineRule="atLeast"/>
        <w:jc w:val="both"/>
      </w:pPr>
      <w:r w:rsidRPr="00517621">
        <w:t>Extremely low-income households are those with income less than 30 percent of the area’s median income.  Mono County’s median income in 2013 was $79,600. Income limits are adjusted depending on the number of people in the household.  For a four-person household, the current income limit for an extremely low-income household is $19,575.  For a one-person household, the income limit is $13,725.</w:t>
      </w:r>
    </w:p>
    <w:p w14:paraId="6FC8F801" w14:textId="77777777" w:rsidR="00517621" w:rsidRDefault="00517621" w:rsidP="00517621">
      <w:pPr>
        <w:spacing w:after="0" w:line="280" w:lineRule="atLeast"/>
        <w:jc w:val="both"/>
      </w:pPr>
      <w:r w:rsidRPr="00517621">
        <w:t>Households with extremely low income may have a variety of housing needs.  In Mono County, households receiving assistance through the CalWORKS program, Supplemental Security Income (SSI), or disability income may be considered extremely low-income households.  Mono County also has a large population of service workers earning minimum wage who may fall into the extremely low-income category, depending on the number of workers in a household.  The California Economic Development Department provides Occupational Employment Statistics for the Eastern Sierra Region showing wages for a variety of occupations.</w:t>
      </w:r>
    </w:p>
    <w:p w14:paraId="0BDF4025" w14:textId="77777777" w:rsidR="00517621" w:rsidRDefault="00517621" w:rsidP="00517621">
      <w:pPr>
        <w:spacing w:after="0" w:line="280" w:lineRule="atLeast"/>
        <w:jc w:val="both"/>
      </w:pPr>
    </w:p>
    <w:p w14:paraId="0EAC6FA3" w14:textId="77777777" w:rsidR="00D666B5" w:rsidRDefault="00D666B5" w:rsidP="00D666B5">
      <w:pPr>
        <w:spacing w:line="280" w:lineRule="atLeast"/>
        <w:jc w:val="both"/>
      </w:pPr>
      <w:r w:rsidRPr="00902009">
        <w:t>Table 10: Occupational Wage Data</w:t>
      </w:r>
    </w:p>
    <w:tbl>
      <w:tblPr>
        <w:tblW w:w="8260" w:type="dxa"/>
        <w:tblInd w:w="-8" w:type="dxa"/>
        <w:tblLook w:val="04A0" w:firstRow="1" w:lastRow="0" w:firstColumn="1" w:lastColumn="0" w:noHBand="0" w:noVBand="1"/>
      </w:tblPr>
      <w:tblGrid>
        <w:gridCol w:w="3040"/>
        <w:gridCol w:w="2880"/>
        <w:gridCol w:w="2340"/>
      </w:tblGrid>
      <w:tr w:rsidR="00380805" w:rsidRPr="00380805" w14:paraId="14ECDA48" w14:textId="77777777" w:rsidTr="00380805">
        <w:trPr>
          <w:trHeight w:val="300"/>
        </w:trPr>
        <w:tc>
          <w:tcPr>
            <w:tcW w:w="30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843696E"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Occupational Title</w:t>
            </w:r>
          </w:p>
        </w:tc>
        <w:tc>
          <w:tcPr>
            <w:tcW w:w="2880" w:type="dxa"/>
            <w:tcBorders>
              <w:top w:val="single" w:sz="4" w:space="0" w:color="auto"/>
              <w:left w:val="nil"/>
              <w:bottom w:val="single" w:sz="4" w:space="0" w:color="auto"/>
              <w:right w:val="single" w:sz="4" w:space="0" w:color="auto"/>
            </w:tcBorders>
            <w:shd w:val="clear" w:color="000000" w:fill="E7E6E6"/>
            <w:noWrap/>
            <w:vAlign w:val="bottom"/>
            <w:hideMark/>
          </w:tcPr>
          <w:p w14:paraId="1D3050B1"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Median Hourly Wage, 2008</w:t>
            </w:r>
          </w:p>
        </w:tc>
        <w:tc>
          <w:tcPr>
            <w:tcW w:w="2340" w:type="dxa"/>
            <w:tcBorders>
              <w:top w:val="single" w:sz="4" w:space="0" w:color="auto"/>
              <w:left w:val="nil"/>
              <w:bottom w:val="single" w:sz="4" w:space="0" w:color="auto"/>
              <w:right w:val="single" w:sz="4" w:space="0" w:color="auto"/>
            </w:tcBorders>
            <w:shd w:val="clear" w:color="000000" w:fill="E7E6E6"/>
            <w:noWrap/>
            <w:vAlign w:val="bottom"/>
            <w:hideMark/>
          </w:tcPr>
          <w:p w14:paraId="619464D3"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Median Annual Wage</w:t>
            </w:r>
          </w:p>
        </w:tc>
      </w:tr>
      <w:tr w:rsidR="00380805" w:rsidRPr="00380805" w14:paraId="5E48BF75" w14:textId="77777777" w:rsidTr="00380805">
        <w:trPr>
          <w:trHeight w:val="300"/>
        </w:trPr>
        <w:tc>
          <w:tcPr>
            <w:tcW w:w="3040" w:type="dxa"/>
            <w:tcBorders>
              <w:top w:val="nil"/>
              <w:left w:val="single" w:sz="4" w:space="0" w:color="auto"/>
              <w:bottom w:val="single" w:sz="4" w:space="0" w:color="auto"/>
              <w:right w:val="single" w:sz="4" w:space="0" w:color="auto"/>
            </w:tcBorders>
            <w:shd w:val="clear" w:color="000000" w:fill="E7E6E6"/>
            <w:noWrap/>
            <w:vAlign w:val="bottom"/>
            <w:hideMark/>
          </w:tcPr>
          <w:p w14:paraId="5D7EB7A6"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Fast Food Worker</w:t>
            </w:r>
          </w:p>
        </w:tc>
        <w:tc>
          <w:tcPr>
            <w:tcW w:w="2880" w:type="dxa"/>
            <w:tcBorders>
              <w:top w:val="nil"/>
              <w:left w:val="nil"/>
              <w:bottom w:val="single" w:sz="4" w:space="0" w:color="auto"/>
              <w:right w:val="single" w:sz="4" w:space="0" w:color="auto"/>
            </w:tcBorders>
            <w:shd w:val="clear" w:color="auto" w:fill="auto"/>
            <w:noWrap/>
            <w:vAlign w:val="bottom"/>
            <w:hideMark/>
          </w:tcPr>
          <w:p w14:paraId="61583DAF"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$8.52 </w:t>
            </w:r>
          </w:p>
        </w:tc>
        <w:tc>
          <w:tcPr>
            <w:tcW w:w="2340" w:type="dxa"/>
            <w:tcBorders>
              <w:top w:val="nil"/>
              <w:left w:val="nil"/>
              <w:bottom w:val="single" w:sz="4" w:space="0" w:color="auto"/>
              <w:right w:val="single" w:sz="4" w:space="0" w:color="auto"/>
            </w:tcBorders>
            <w:shd w:val="clear" w:color="auto" w:fill="auto"/>
            <w:noWrap/>
            <w:vAlign w:val="bottom"/>
            <w:hideMark/>
          </w:tcPr>
          <w:p w14:paraId="11434F60"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$17,721 </w:t>
            </w:r>
          </w:p>
        </w:tc>
      </w:tr>
      <w:tr w:rsidR="00380805" w:rsidRPr="00380805" w14:paraId="4014DA78" w14:textId="77777777" w:rsidTr="00380805">
        <w:trPr>
          <w:trHeight w:val="300"/>
        </w:trPr>
        <w:tc>
          <w:tcPr>
            <w:tcW w:w="3040" w:type="dxa"/>
            <w:tcBorders>
              <w:top w:val="nil"/>
              <w:left w:val="single" w:sz="4" w:space="0" w:color="auto"/>
              <w:bottom w:val="single" w:sz="4" w:space="0" w:color="auto"/>
              <w:right w:val="single" w:sz="4" w:space="0" w:color="auto"/>
            </w:tcBorders>
            <w:shd w:val="clear" w:color="000000" w:fill="E7E6E6"/>
            <w:noWrap/>
            <w:vAlign w:val="bottom"/>
            <w:hideMark/>
          </w:tcPr>
          <w:p w14:paraId="27E5E471"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Waiters and Waitresses</w:t>
            </w:r>
          </w:p>
        </w:tc>
        <w:tc>
          <w:tcPr>
            <w:tcW w:w="2880" w:type="dxa"/>
            <w:tcBorders>
              <w:top w:val="nil"/>
              <w:left w:val="nil"/>
              <w:bottom w:val="single" w:sz="4" w:space="0" w:color="auto"/>
              <w:right w:val="single" w:sz="4" w:space="0" w:color="auto"/>
            </w:tcBorders>
            <w:shd w:val="clear" w:color="auto" w:fill="auto"/>
            <w:noWrap/>
            <w:vAlign w:val="bottom"/>
            <w:hideMark/>
          </w:tcPr>
          <w:p w14:paraId="39797CF9"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$8.42 </w:t>
            </w:r>
          </w:p>
        </w:tc>
        <w:tc>
          <w:tcPr>
            <w:tcW w:w="2340" w:type="dxa"/>
            <w:tcBorders>
              <w:top w:val="nil"/>
              <w:left w:val="nil"/>
              <w:bottom w:val="single" w:sz="4" w:space="0" w:color="auto"/>
              <w:right w:val="single" w:sz="4" w:space="0" w:color="auto"/>
            </w:tcBorders>
            <w:shd w:val="clear" w:color="auto" w:fill="auto"/>
            <w:noWrap/>
            <w:vAlign w:val="bottom"/>
            <w:hideMark/>
          </w:tcPr>
          <w:p w14:paraId="04BC1F99"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$17,514 </w:t>
            </w:r>
          </w:p>
        </w:tc>
      </w:tr>
      <w:tr w:rsidR="00380805" w:rsidRPr="00380805" w14:paraId="7A1BB894" w14:textId="77777777" w:rsidTr="00380805">
        <w:trPr>
          <w:trHeight w:val="300"/>
        </w:trPr>
        <w:tc>
          <w:tcPr>
            <w:tcW w:w="3040" w:type="dxa"/>
            <w:tcBorders>
              <w:top w:val="nil"/>
              <w:left w:val="single" w:sz="4" w:space="0" w:color="auto"/>
              <w:bottom w:val="single" w:sz="4" w:space="0" w:color="auto"/>
              <w:right w:val="single" w:sz="4" w:space="0" w:color="auto"/>
            </w:tcBorders>
            <w:shd w:val="clear" w:color="000000" w:fill="E7E6E6"/>
            <w:noWrap/>
            <w:vAlign w:val="bottom"/>
            <w:hideMark/>
          </w:tcPr>
          <w:p w14:paraId="7B0DF5AC"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Dishwashers</w:t>
            </w:r>
          </w:p>
        </w:tc>
        <w:tc>
          <w:tcPr>
            <w:tcW w:w="2880" w:type="dxa"/>
            <w:tcBorders>
              <w:top w:val="nil"/>
              <w:left w:val="nil"/>
              <w:bottom w:val="single" w:sz="4" w:space="0" w:color="auto"/>
              <w:right w:val="single" w:sz="4" w:space="0" w:color="auto"/>
            </w:tcBorders>
            <w:shd w:val="clear" w:color="auto" w:fill="auto"/>
            <w:noWrap/>
            <w:vAlign w:val="bottom"/>
            <w:hideMark/>
          </w:tcPr>
          <w:p w14:paraId="6196BDA5"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$8.55 </w:t>
            </w:r>
          </w:p>
        </w:tc>
        <w:tc>
          <w:tcPr>
            <w:tcW w:w="2340" w:type="dxa"/>
            <w:tcBorders>
              <w:top w:val="nil"/>
              <w:left w:val="nil"/>
              <w:bottom w:val="single" w:sz="4" w:space="0" w:color="auto"/>
              <w:right w:val="single" w:sz="4" w:space="0" w:color="auto"/>
            </w:tcBorders>
            <w:shd w:val="clear" w:color="auto" w:fill="auto"/>
            <w:noWrap/>
            <w:vAlign w:val="bottom"/>
            <w:hideMark/>
          </w:tcPr>
          <w:p w14:paraId="6EF64E03"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$17,784 </w:t>
            </w:r>
          </w:p>
        </w:tc>
      </w:tr>
      <w:tr w:rsidR="00380805" w:rsidRPr="00380805" w14:paraId="7E0BA088" w14:textId="77777777" w:rsidTr="00380805">
        <w:trPr>
          <w:trHeight w:val="300"/>
        </w:trPr>
        <w:tc>
          <w:tcPr>
            <w:tcW w:w="3040" w:type="dxa"/>
            <w:tcBorders>
              <w:top w:val="nil"/>
              <w:left w:val="single" w:sz="4" w:space="0" w:color="auto"/>
              <w:bottom w:val="single" w:sz="4" w:space="0" w:color="auto"/>
              <w:right w:val="single" w:sz="4" w:space="0" w:color="auto"/>
            </w:tcBorders>
            <w:shd w:val="clear" w:color="000000" w:fill="E7E6E6"/>
            <w:noWrap/>
            <w:vAlign w:val="bottom"/>
            <w:hideMark/>
          </w:tcPr>
          <w:p w14:paraId="148510C3"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Maids and Housekeeping Staff</w:t>
            </w:r>
          </w:p>
        </w:tc>
        <w:tc>
          <w:tcPr>
            <w:tcW w:w="2880" w:type="dxa"/>
            <w:tcBorders>
              <w:top w:val="nil"/>
              <w:left w:val="nil"/>
              <w:bottom w:val="single" w:sz="4" w:space="0" w:color="auto"/>
              <w:right w:val="single" w:sz="4" w:space="0" w:color="auto"/>
            </w:tcBorders>
            <w:shd w:val="clear" w:color="auto" w:fill="auto"/>
            <w:noWrap/>
            <w:vAlign w:val="bottom"/>
            <w:hideMark/>
          </w:tcPr>
          <w:p w14:paraId="4FE0BA38"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$9.39 </w:t>
            </w:r>
          </w:p>
        </w:tc>
        <w:tc>
          <w:tcPr>
            <w:tcW w:w="2340" w:type="dxa"/>
            <w:tcBorders>
              <w:top w:val="nil"/>
              <w:left w:val="nil"/>
              <w:bottom w:val="single" w:sz="4" w:space="0" w:color="auto"/>
              <w:right w:val="single" w:sz="4" w:space="0" w:color="auto"/>
            </w:tcBorders>
            <w:shd w:val="clear" w:color="auto" w:fill="auto"/>
            <w:noWrap/>
            <w:vAlign w:val="bottom"/>
            <w:hideMark/>
          </w:tcPr>
          <w:p w14:paraId="7B54C4B7"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$19,531 </w:t>
            </w:r>
          </w:p>
        </w:tc>
      </w:tr>
      <w:tr w:rsidR="00380805" w:rsidRPr="00380805" w14:paraId="6F29F1EC" w14:textId="77777777" w:rsidTr="00380805">
        <w:trPr>
          <w:trHeight w:val="300"/>
        </w:trPr>
        <w:tc>
          <w:tcPr>
            <w:tcW w:w="3040" w:type="dxa"/>
            <w:tcBorders>
              <w:top w:val="nil"/>
              <w:left w:val="single" w:sz="4" w:space="0" w:color="auto"/>
              <w:bottom w:val="single" w:sz="4" w:space="0" w:color="auto"/>
              <w:right w:val="single" w:sz="4" w:space="0" w:color="auto"/>
            </w:tcBorders>
            <w:shd w:val="clear" w:color="000000" w:fill="E7E6E6"/>
            <w:noWrap/>
            <w:vAlign w:val="bottom"/>
            <w:hideMark/>
          </w:tcPr>
          <w:p w14:paraId="1F1A6B95"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Hotel, Motel, Resort Desk Clerk</w:t>
            </w:r>
          </w:p>
        </w:tc>
        <w:tc>
          <w:tcPr>
            <w:tcW w:w="2880" w:type="dxa"/>
            <w:tcBorders>
              <w:top w:val="nil"/>
              <w:left w:val="nil"/>
              <w:bottom w:val="single" w:sz="4" w:space="0" w:color="auto"/>
              <w:right w:val="single" w:sz="4" w:space="0" w:color="auto"/>
            </w:tcBorders>
            <w:shd w:val="clear" w:color="auto" w:fill="auto"/>
            <w:noWrap/>
            <w:vAlign w:val="bottom"/>
            <w:hideMark/>
          </w:tcPr>
          <w:p w14:paraId="539DF571"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$9.59 </w:t>
            </w:r>
          </w:p>
        </w:tc>
        <w:tc>
          <w:tcPr>
            <w:tcW w:w="2340" w:type="dxa"/>
            <w:tcBorders>
              <w:top w:val="nil"/>
              <w:left w:val="nil"/>
              <w:bottom w:val="single" w:sz="4" w:space="0" w:color="auto"/>
              <w:right w:val="single" w:sz="4" w:space="0" w:color="auto"/>
            </w:tcBorders>
            <w:shd w:val="clear" w:color="auto" w:fill="auto"/>
            <w:noWrap/>
            <w:vAlign w:val="bottom"/>
            <w:hideMark/>
          </w:tcPr>
          <w:p w14:paraId="6DDDC05F"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 xml:space="preserve">$19,906 </w:t>
            </w:r>
          </w:p>
        </w:tc>
      </w:tr>
    </w:tbl>
    <w:p w14:paraId="3732DCDA" w14:textId="77777777" w:rsidR="00D666B5" w:rsidRPr="00902009" w:rsidRDefault="00D666B5" w:rsidP="00D666B5">
      <w:pPr>
        <w:spacing w:after="0" w:line="280" w:lineRule="atLeast"/>
        <w:ind w:right="-180"/>
        <w:jc w:val="both"/>
      </w:pPr>
      <w:r w:rsidRPr="00902009">
        <w:t>* Based on working 40 hours per week, 52 weeks per year.</w:t>
      </w:r>
    </w:p>
    <w:p w14:paraId="354F6340" w14:textId="77777777" w:rsidR="00D666B5" w:rsidRPr="00902009" w:rsidRDefault="00D666B5" w:rsidP="00D666B5">
      <w:pPr>
        <w:spacing w:before="120" w:after="0" w:line="280" w:lineRule="atLeast"/>
        <w:ind w:left="907" w:right="-187" w:hanging="907"/>
        <w:jc w:val="both"/>
      </w:pPr>
      <w:r w:rsidRPr="00902009">
        <w:t>Source:</w:t>
      </w:r>
      <w:r w:rsidRPr="00902009">
        <w:tab/>
        <w:t>California Employment Development Department (EDD), Occupational Employment and Wage Data, Occupational Employment Statistics Survey.</w:t>
      </w:r>
    </w:p>
    <w:p w14:paraId="419F4FBD" w14:textId="77777777" w:rsidR="00517621" w:rsidRDefault="00517621" w:rsidP="00D666B5">
      <w:pPr>
        <w:spacing w:after="0" w:line="280" w:lineRule="atLeast"/>
      </w:pPr>
    </w:p>
    <w:p w14:paraId="17C2D610" w14:textId="77777777" w:rsidR="00517621" w:rsidRPr="00517621" w:rsidRDefault="00517621" w:rsidP="00517621">
      <w:pPr>
        <w:spacing w:line="280" w:lineRule="atLeast"/>
        <w:jc w:val="both"/>
      </w:pPr>
      <w:r w:rsidRPr="00517621">
        <w:t>Estimated data on the number of extremely-low income households in the County is available through the ACS.  In 2011, there were approximately 442 extremely-low income households in the unincorporated area, 17.4 percent of the total number of households.  This is a dramatic increase from 2000 when only 7.5% of households were considered extremely low income, however, this is likely due to the small sample size of the ACS.  37 percent of the extremely-low income households were renters; 63 percent were homeowners.  Households are considered to be overpaying for housing if payments for rent or mortgage are 30 percent or more of household income. 96% of extremely low income renters pay over 30% of their income on housing costs.</w:t>
      </w:r>
    </w:p>
    <w:p w14:paraId="289AD378" w14:textId="77777777" w:rsidR="00380805" w:rsidRDefault="00D666B5" w:rsidP="00D666B5">
      <w:pPr>
        <w:spacing w:line="280" w:lineRule="atLeast"/>
        <w:ind w:right="80"/>
        <w:jc w:val="both"/>
      </w:pPr>
      <w:r w:rsidRPr="00902009">
        <w:t>Table 11: Extremely Low Income Households by Tenure, 2011</w:t>
      </w:r>
    </w:p>
    <w:tbl>
      <w:tblPr>
        <w:tblW w:w="7140" w:type="dxa"/>
        <w:tblInd w:w="-8" w:type="dxa"/>
        <w:tblLook w:val="04A0" w:firstRow="1" w:lastRow="0" w:firstColumn="1" w:lastColumn="0" w:noHBand="0" w:noVBand="1"/>
      </w:tblPr>
      <w:tblGrid>
        <w:gridCol w:w="4260"/>
        <w:gridCol w:w="960"/>
        <w:gridCol w:w="960"/>
        <w:gridCol w:w="960"/>
      </w:tblGrid>
      <w:tr w:rsidR="00380805" w:rsidRPr="00380805" w14:paraId="5CBC4848" w14:textId="77777777" w:rsidTr="00380805">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6AF6A26"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000000" w:fill="E7E6E6"/>
            <w:noWrap/>
            <w:vAlign w:val="bottom"/>
            <w:hideMark/>
          </w:tcPr>
          <w:p w14:paraId="22881F8E"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Renters</w:t>
            </w:r>
          </w:p>
        </w:tc>
        <w:tc>
          <w:tcPr>
            <w:tcW w:w="960" w:type="dxa"/>
            <w:tcBorders>
              <w:top w:val="single" w:sz="4" w:space="0" w:color="auto"/>
              <w:left w:val="nil"/>
              <w:bottom w:val="single" w:sz="4" w:space="0" w:color="auto"/>
              <w:right w:val="single" w:sz="4" w:space="0" w:color="auto"/>
            </w:tcBorders>
            <w:shd w:val="clear" w:color="000000" w:fill="E7E6E6"/>
            <w:noWrap/>
            <w:vAlign w:val="bottom"/>
            <w:hideMark/>
          </w:tcPr>
          <w:p w14:paraId="5B2F45B4"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Owners</w:t>
            </w:r>
          </w:p>
        </w:tc>
        <w:tc>
          <w:tcPr>
            <w:tcW w:w="960" w:type="dxa"/>
            <w:tcBorders>
              <w:top w:val="single" w:sz="4" w:space="0" w:color="auto"/>
              <w:left w:val="nil"/>
              <w:bottom w:val="single" w:sz="4" w:space="0" w:color="auto"/>
              <w:right w:val="single" w:sz="4" w:space="0" w:color="auto"/>
            </w:tcBorders>
            <w:shd w:val="clear" w:color="000000" w:fill="E7E6E6"/>
            <w:noWrap/>
            <w:vAlign w:val="bottom"/>
            <w:hideMark/>
          </w:tcPr>
          <w:p w14:paraId="3F91F04B"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Total</w:t>
            </w:r>
          </w:p>
        </w:tc>
      </w:tr>
      <w:tr w:rsidR="00380805" w:rsidRPr="00380805" w14:paraId="693631E0" w14:textId="77777777" w:rsidTr="00380805">
        <w:trPr>
          <w:trHeight w:val="300"/>
        </w:trPr>
        <w:tc>
          <w:tcPr>
            <w:tcW w:w="4260" w:type="dxa"/>
            <w:tcBorders>
              <w:top w:val="nil"/>
              <w:left w:val="single" w:sz="4" w:space="0" w:color="auto"/>
              <w:bottom w:val="single" w:sz="4" w:space="0" w:color="auto"/>
              <w:right w:val="single" w:sz="4" w:space="0" w:color="auto"/>
            </w:tcBorders>
            <w:shd w:val="clear" w:color="000000" w:fill="E7E6E6"/>
            <w:noWrap/>
            <w:vAlign w:val="bottom"/>
            <w:hideMark/>
          </w:tcPr>
          <w:p w14:paraId="3E2DE698"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Total Number of ELI Households</w:t>
            </w:r>
          </w:p>
        </w:tc>
        <w:tc>
          <w:tcPr>
            <w:tcW w:w="960" w:type="dxa"/>
            <w:tcBorders>
              <w:top w:val="nil"/>
              <w:left w:val="nil"/>
              <w:bottom w:val="single" w:sz="4" w:space="0" w:color="auto"/>
              <w:right w:val="single" w:sz="4" w:space="0" w:color="auto"/>
            </w:tcBorders>
            <w:shd w:val="clear" w:color="auto" w:fill="auto"/>
            <w:noWrap/>
            <w:vAlign w:val="bottom"/>
            <w:hideMark/>
          </w:tcPr>
          <w:p w14:paraId="01F43967"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132</w:t>
            </w:r>
          </w:p>
        </w:tc>
        <w:tc>
          <w:tcPr>
            <w:tcW w:w="960" w:type="dxa"/>
            <w:tcBorders>
              <w:top w:val="nil"/>
              <w:left w:val="nil"/>
              <w:bottom w:val="single" w:sz="4" w:space="0" w:color="auto"/>
              <w:right w:val="single" w:sz="4" w:space="0" w:color="auto"/>
            </w:tcBorders>
            <w:shd w:val="clear" w:color="auto" w:fill="auto"/>
            <w:noWrap/>
            <w:vAlign w:val="bottom"/>
            <w:hideMark/>
          </w:tcPr>
          <w:p w14:paraId="114AD247"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279</w:t>
            </w:r>
          </w:p>
        </w:tc>
        <w:tc>
          <w:tcPr>
            <w:tcW w:w="960" w:type="dxa"/>
            <w:tcBorders>
              <w:top w:val="nil"/>
              <w:left w:val="nil"/>
              <w:bottom w:val="single" w:sz="4" w:space="0" w:color="auto"/>
              <w:right w:val="single" w:sz="4" w:space="0" w:color="auto"/>
            </w:tcBorders>
            <w:shd w:val="clear" w:color="auto" w:fill="auto"/>
            <w:noWrap/>
            <w:vAlign w:val="bottom"/>
            <w:hideMark/>
          </w:tcPr>
          <w:p w14:paraId="7E71A790"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442</w:t>
            </w:r>
          </w:p>
        </w:tc>
      </w:tr>
      <w:tr w:rsidR="00380805" w:rsidRPr="00380805" w14:paraId="58DEF89A" w14:textId="77777777" w:rsidTr="00380805">
        <w:trPr>
          <w:trHeight w:val="300"/>
        </w:trPr>
        <w:tc>
          <w:tcPr>
            <w:tcW w:w="4260" w:type="dxa"/>
            <w:tcBorders>
              <w:top w:val="nil"/>
              <w:left w:val="single" w:sz="4" w:space="0" w:color="auto"/>
              <w:bottom w:val="nil"/>
              <w:right w:val="single" w:sz="4" w:space="0" w:color="auto"/>
            </w:tcBorders>
            <w:shd w:val="clear" w:color="000000" w:fill="E7E6E6"/>
            <w:noWrap/>
            <w:vAlign w:val="bottom"/>
            <w:hideMark/>
          </w:tcPr>
          <w:p w14:paraId="5F24543C" w14:textId="77777777" w:rsidR="00380805" w:rsidRPr="00380805" w:rsidRDefault="00380805" w:rsidP="00380805">
            <w:pPr>
              <w:spacing w:after="0" w:line="240" w:lineRule="auto"/>
              <w:rPr>
                <w:rFonts w:ascii="Calibri" w:eastAsia="Times New Roman" w:hAnsi="Calibri" w:cs="Times New Roman"/>
                <w:color w:val="000000"/>
              </w:rPr>
            </w:pPr>
            <w:r w:rsidRPr="00380805">
              <w:rPr>
                <w:rFonts w:ascii="Calibri" w:eastAsia="Times New Roman" w:hAnsi="Calibri" w:cs="Times New Roman"/>
                <w:color w:val="000000"/>
              </w:rPr>
              <w:t>Percent with Cost Burden (&gt;30% of income)</w:t>
            </w:r>
          </w:p>
        </w:tc>
        <w:tc>
          <w:tcPr>
            <w:tcW w:w="960" w:type="dxa"/>
            <w:tcBorders>
              <w:top w:val="nil"/>
              <w:left w:val="nil"/>
              <w:bottom w:val="nil"/>
              <w:right w:val="single" w:sz="4" w:space="0" w:color="auto"/>
            </w:tcBorders>
            <w:shd w:val="clear" w:color="auto" w:fill="auto"/>
            <w:noWrap/>
            <w:vAlign w:val="bottom"/>
            <w:hideMark/>
          </w:tcPr>
          <w:p w14:paraId="0FC0774A"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96%</w:t>
            </w:r>
          </w:p>
        </w:tc>
        <w:tc>
          <w:tcPr>
            <w:tcW w:w="960" w:type="dxa"/>
            <w:tcBorders>
              <w:top w:val="nil"/>
              <w:left w:val="nil"/>
              <w:bottom w:val="nil"/>
              <w:right w:val="single" w:sz="4" w:space="0" w:color="auto"/>
            </w:tcBorders>
            <w:shd w:val="clear" w:color="auto" w:fill="auto"/>
            <w:noWrap/>
            <w:vAlign w:val="bottom"/>
            <w:hideMark/>
          </w:tcPr>
          <w:p w14:paraId="65ACFE2A"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83%</w:t>
            </w:r>
          </w:p>
        </w:tc>
        <w:tc>
          <w:tcPr>
            <w:tcW w:w="960" w:type="dxa"/>
            <w:tcBorders>
              <w:top w:val="nil"/>
              <w:left w:val="nil"/>
              <w:bottom w:val="nil"/>
              <w:right w:val="single" w:sz="4" w:space="0" w:color="auto"/>
            </w:tcBorders>
            <w:shd w:val="clear" w:color="auto" w:fill="auto"/>
            <w:noWrap/>
            <w:vAlign w:val="bottom"/>
            <w:hideMark/>
          </w:tcPr>
          <w:p w14:paraId="389F7883" w14:textId="77777777" w:rsidR="00380805" w:rsidRPr="00380805" w:rsidRDefault="00380805" w:rsidP="00380805">
            <w:pPr>
              <w:spacing w:after="0" w:line="240" w:lineRule="auto"/>
              <w:jc w:val="center"/>
              <w:rPr>
                <w:rFonts w:ascii="Calibri" w:eastAsia="Times New Roman" w:hAnsi="Calibri" w:cs="Times New Roman"/>
                <w:color w:val="000000"/>
              </w:rPr>
            </w:pPr>
            <w:r w:rsidRPr="00380805">
              <w:rPr>
                <w:rFonts w:ascii="Calibri" w:eastAsia="Times New Roman" w:hAnsi="Calibri" w:cs="Times New Roman"/>
                <w:color w:val="000000"/>
              </w:rPr>
              <w:t>88%</w:t>
            </w:r>
          </w:p>
        </w:tc>
      </w:tr>
      <w:tr w:rsidR="00380805" w:rsidRPr="00380805" w14:paraId="482E933A" w14:textId="77777777" w:rsidTr="00380805">
        <w:trPr>
          <w:trHeight w:val="300"/>
        </w:trPr>
        <w:tc>
          <w:tcPr>
            <w:tcW w:w="4260" w:type="dxa"/>
            <w:tcBorders>
              <w:top w:val="nil"/>
              <w:left w:val="single" w:sz="4" w:space="0" w:color="auto"/>
              <w:bottom w:val="single" w:sz="4" w:space="0" w:color="auto"/>
              <w:right w:val="single" w:sz="4" w:space="0" w:color="auto"/>
            </w:tcBorders>
            <w:shd w:val="clear" w:color="000000" w:fill="E7E6E6"/>
            <w:noWrap/>
            <w:vAlign w:val="bottom"/>
          </w:tcPr>
          <w:p w14:paraId="7CF422EE" w14:textId="77777777" w:rsidR="00380805" w:rsidRPr="00380805" w:rsidRDefault="00380805" w:rsidP="00380805">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tcPr>
          <w:p w14:paraId="3CECEF62" w14:textId="77777777" w:rsidR="00380805" w:rsidRPr="00380805" w:rsidRDefault="00380805" w:rsidP="00380805">
            <w:pPr>
              <w:spacing w:after="0" w:line="240" w:lineRule="auto"/>
              <w:jc w:val="center"/>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tcPr>
          <w:p w14:paraId="68A8643B" w14:textId="77777777" w:rsidR="00380805" w:rsidRPr="00380805" w:rsidRDefault="00380805" w:rsidP="00380805">
            <w:pPr>
              <w:spacing w:after="0" w:line="240" w:lineRule="auto"/>
              <w:jc w:val="center"/>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shd w:val="clear" w:color="auto" w:fill="auto"/>
            <w:noWrap/>
            <w:vAlign w:val="bottom"/>
          </w:tcPr>
          <w:p w14:paraId="1F1A1F46" w14:textId="77777777" w:rsidR="00380805" w:rsidRPr="00380805" w:rsidRDefault="00380805" w:rsidP="00380805">
            <w:pPr>
              <w:spacing w:after="0" w:line="240" w:lineRule="auto"/>
              <w:jc w:val="center"/>
              <w:rPr>
                <w:rFonts w:ascii="Calibri" w:eastAsia="Times New Roman" w:hAnsi="Calibri" w:cs="Times New Roman"/>
                <w:color w:val="000000"/>
              </w:rPr>
            </w:pPr>
          </w:p>
        </w:tc>
      </w:tr>
    </w:tbl>
    <w:p w14:paraId="3DD2E6E5" w14:textId="77777777" w:rsidR="00380805" w:rsidRDefault="00380805" w:rsidP="00380805">
      <w:bookmarkStart w:id="55" w:name="_Toc383700000"/>
      <w:r>
        <w:t>Source: HCD data package</w:t>
      </w:r>
    </w:p>
    <w:p w14:paraId="5EF0BC53" w14:textId="77777777" w:rsidR="00517621" w:rsidRDefault="002E1FEA" w:rsidP="00EF449A">
      <w:pPr>
        <w:pStyle w:val="Heading2"/>
      </w:pPr>
      <w:r>
        <w:t xml:space="preserve">C. </w:t>
      </w:r>
      <w:r w:rsidR="00517621" w:rsidRPr="00517621">
        <w:t>EMPLOYMENT, INCOME &amp; POVERTY</w:t>
      </w:r>
      <w:bookmarkEnd w:id="55"/>
    </w:p>
    <w:p w14:paraId="5475B3E3" w14:textId="77777777" w:rsidR="00517621" w:rsidRDefault="00517621" w:rsidP="00517621">
      <w:pPr>
        <w:spacing w:after="0" w:line="280" w:lineRule="atLeast"/>
        <w:jc w:val="both"/>
      </w:pPr>
    </w:p>
    <w:p w14:paraId="4282EF58" w14:textId="77777777" w:rsidR="00885ACB" w:rsidRDefault="002E1FEA" w:rsidP="00EF449A">
      <w:pPr>
        <w:pStyle w:val="Heading3"/>
      </w:pPr>
      <w:bookmarkStart w:id="56" w:name="_Toc383700001"/>
      <w:r>
        <w:t xml:space="preserve">a. </w:t>
      </w:r>
      <w:r w:rsidR="00517621" w:rsidRPr="00517621">
        <w:t>OVERALL EMPLOYMENT TRENDS</w:t>
      </w:r>
      <w:bookmarkEnd w:id="56"/>
      <w:r w:rsidR="00517621" w:rsidRPr="00517621">
        <w:fldChar w:fldCharType="begin"/>
      </w:r>
      <w:r w:rsidR="00517621" w:rsidRPr="00517621">
        <w:instrText xml:space="preserve"> TC"</w:instrText>
      </w:r>
      <w:bookmarkStart w:id="57" w:name="_Toc53806452"/>
      <w:bookmarkStart w:id="58" w:name="_Toc66156044"/>
      <w:bookmarkStart w:id="59" w:name="_Toc76443964"/>
      <w:bookmarkStart w:id="60" w:name="_Toc123887094"/>
      <w:r w:rsidR="00517621" w:rsidRPr="00517621">
        <w:instrText>Overall Employment Trends</w:instrText>
      </w:r>
      <w:bookmarkEnd w:id="57"/>
      <w:bookmarkEnd w:id="58"/>
      <w:bookmarkEnd w:id="59"/>
      <w:bookmarkEnd w:id="60"/>
      <w:r w:rsidR="00517621" w:rsidRPr="00517621">
        <w:instrText xml:space="preserve">"\l 3 </w:instrText>
      </w:r>
      <w:r w:rsidR="00517621" w:rsidRPr="00517621">
        <w:fldChar w:fldCharType="end"/>
      </w:r>
    </w:p>
    <w:p w14:paraId="3424E1AE" w14:textId="77777777" w:rsidR="00517621" w:rsidRPr="00517621" w:rsidRDefault="00517621" w:rsidP="00885ACB">
      <w:pPr>
        <w:spacing w:after="0" w:line="280" w:lineRule="atLeast"/>
      </w:pPr>
      <w:r w:rsidRPr="00517621">
        <w:t>The following discussion of employment trends in Mono County is excerpted from Eastern Sierra Region Projection Highlights (Alpine, Inyo, and Mono Counties) prepared by the California Employment Development Department (</w:t>
      </w:r>
      <w:r w:rsidRPr="00517621">
        <w:rPr>
          <w:rStyle w:val="Hyperlink"/>
        </w:rPr>
        <w:t>www.labormarkerinfo.edd.ca.gov</w:t>
      </w:r>
      <w:r w:rsidRPr="00517621">
        <w:t>).</w:t>
      </w:r>
    </w:p>
    <w:p w14:paraId="05F29A78" w14:textId="77777777" w:rsidR="00885ACB" w:rsidRDefault="00885ACB" w:rsidP="00885ACB">
      <w:pPr>
        <w:spacing w:after="0" w:line="280" w:lineRule="atLeast"/>
        <w:ind w:left="360" w:right="360"/>
        <w:jc w:val="both"/>
      </w:pPr>
    </w:p>
    <w:p w14:paraId="471CA14B" w14:textId="77777777" w:rsidR="00517621" w:rsidRPr="00517621" w:rsidRDefault="00517621" w:rsidP="00885ACB">
      <w:pPr>
        <w:spacing w:after="0" w:line="280" w:lineRule="atLeast"/>
        <w:ind w:left="360" w:right="360"/>
        <w:jc w:val="both"/>
      </w:pPr>
      <w:r w:rsidRPr="00517621">
        <w:t>Industry</w:t>
      </w:r>
    </w:p>
    <w:p w14:paraId="3064A0D3" w14:textId="77777777" w:rsidR="00517621" w:rsidRPr="00517621" w:rsidRDefault="00517621" w:rsidP="00885ACB">
      <w:pPr>
        <w:spacing w:after="0" w:line="280" w:lineRule="atLeast"/>
        <w:ind w:left="360" w:right="360"/>
        <w:jc w:val="both"/>
      </w:pPr>
      <w:r w:rsidRPr="00517621">
        <w:t>Total employment, including Self-Employment, Unpaid Family Workers, Farm Employment and Nonfarm Wage and Salary Employment in the Eastern Sierra Region is expected to grow about 1.6 percent annually between 2004 and 2014.  Employment is anticipated to increase by almost 2,800 total jobs to about 20,200 jobs in 2014.  The projected growth rate for this three-County area is equal to the growth rate of California, which is about 1.6 percent annually.</w:t>
      </w:r>
    </w:p>
    <w:p w14:paraId="1F7A8BAE" w14:textId="77777777" w:rsidR="00517621" w:rsidRPr="00517621" w:rsidRDefault="00517621" w:rsidP="00885ACB">
      <w:pPr>
        <w:spacing w:after="0" w:line="280" w:lineRule="atLeast"/>
        <w:ind w:left="360" w:right="360"/>
        <w:jc w:val="both"/>
      </w:pPr>
      <w:r w:rsidRPr="00517621">
        <w:t>Nonfarm Wage and Salary Employment, which accounts for 91 percent of total employment, is expected to grow 1.7 percent annually for the next ten years in the Eastern Sierra Region.  Six out of ten new jobs are forecasted to occur in Government (800), Leisure and Hospitality (440), and Retail Trade (380).</w:t>
      </w:r>
    </w:p>
    <w:p w14:paraId="3B4D6190" w14:textId="77777777" w:rsidR="00885ACB" w:rsidRDefault="00885ACB" w:rsidP="00885ACB">
      <w:pPr>
        <w:spacing w:after="0" w:line="280" w:lineRule="atLeast"/>
        <w:ind w:left="360" w:right="360"/>
        <w:jc w:val="both"/>
      </w:pPr>
    </w:p>
    <w:p w14:paraId="22A49281" w14:textId="77777777" w:rsidR="00517621" w:rsidRPr="00517621" w:rsidRDefault="00517621" w:rsidP="00885ACB">
      <w:pPr>
        <w:spacing w:after="0" w:line="280" w:lineRule="atLeast"/>
        <w:ind w:left="360" w:right="360"/>
        <w:jc w:val="both"/>
      </w:pPr>
      <w:r w:rsidRPr="00517621">
        <w:t>Occupations</w:t>
      </w:r>
    </w:p>
    <w:p w14:paraId="1E951364" w14:textId="77777777" w:rsidR="00517621" w:rsidRPr="00517621" w:rsidRDefault="00517621" w:rsidP="00885ACB">
      <w:pPr>
        <w:spacing w:after="0" w:line="280" w:lineRule="atLeast"/>
        <w:ind w:left="360" w:right="360"/>
        <w:jc w:val="both"/>
      </w:pPr>
      <w:r w:rsidRPr="00517621">
        <w:t>Occupational projections for the period 2004 to 2014 forecast:</w:t>
      </w:r>
    </w:p>
    <w:p w14:paraId="5815A377" w14:textId="77777777" w:rsidR="00517621" w:rsidRPr="00517621" w:rsidRDefault="00517621" w:rsidP="00885ACB">
      <w:pPr>
        <w:numPr>
          <w:ilvl w:val="0"/>
          <w:numId w:val="1"/>
        </w:numPr>
        <w:tabs>
          <w:tab w:val="clear" w:pos="720"/>
        </w:tabs>
        <w:spacing w:after="0" w:line="280" w:lineRule="atLeast"/>
        <w:ind w:left="1080" w:right="360"/>
        <w:jc w:val="both"/>
      </w:pPr>
      <w:r w:rsidRPr="00517621">
        <w:t>2,740 new jobs from industry growth,</w:t>
      </w:r>
    </w:p>
    <w:p w14:paraId="512CF8A7" w14:textId="77777777" w:rsidR="00517621" w:rsidRPr="00517621" w:rsidRDefault="00517621" w:rsidP="00885ACB">
      <w:pPr>
        <w:numPr>
          <w:ilvl w:val="0"/>
          <w:numId w:val="1"/>
        </w:numPr>
        <w:tabs>
          <w:tab w:val="clear" w:pos="720"/>
        </w:tabs>
        <w:spacing w:after="0" w:line="280" w:lineRule="atLeast"/>
        <w:ind w:left="1080" w:right="360"/>
        <w:jc w:val="both"/>
      </w:pPr>
      <w:r w:rsidRPr="00517621">
        <w:t>4,620 jobs openings from Net Replacements,</w:t>
      </w:r>
    </w:p>
    <w:p w14:paraId="454BF223" w14:textId="77777777" w:rsidR="00517621" w:rsidRPr="00517621" w:rsidRDefault="00517621" w:rsidP="00885ACB">
      <w:pPr>
        <w:numPr>
          <w:ilvl w:val="0"/>
          <w:numId w:val="1"/>
        </w:numPr>
        <w:tabs>
          <w:tab w:val="clear" w:pos="720"/>
        </w:tabs>
        <w:spacing w:after="0" w:line="280" w:lineRule="atLeast"/>
        <w:ind w:left="1080" w:right="360"/>
        <w:jc w:val="both"/>
      </w:pPr>
      <w:r w:rsidRPr="00517621">
        <w:t>A combined total of 7,360 job openings.</w:t>
      </w:r>
    </w:p>
    <w:p w14:paraId="0D950FE5" w14:textId="77777777" w:rsidR="00517621" w:rsidRPr="00517621" w:rsidRDefault="00517621" w:rsidP="00885ACB">
      <w:pPr>
        <w:spacing w:after="0" w:line="280" w:lineRule="atLeast"/>
        <w:ind w:left="360" w:right="360"/>
        <w:jc w:val="both"/>
      </w:pPr>
    </w:p>
    <w:p w14:paraId="2A8F7C3D" w14:textId="77777777" w:rsidR="00517621" w:rsidRPr="00517621" w:rsidRDefault="00517621" w:rsidP="00885ACB">
      <w:pPr>
        <w:spacing w:after="0" w:line="280" w:lineRule="atLeast"/>
        <w:ind w:left="360" w:right="360"/>
        <w:jc w:val="both"/>
      </w:pPr>
      <w:r w:rsidRPr="00517621">
        <w:t>The top 50 occupations with the most job openings will generate 65 percent of all job openings in the Eastern Sierra Region during the 2004-2014 projections period, accounting for almost 4,800 total job openings.  Of the top 50 occupations with the most job openings, 41 require work experience or on-the-job training.  Food preparation and Office and Administrative Support account for 18 of the 50 occupations with the most job openings.</w:t>
      </w:r>
    </w:p>
    <w:p w14:paraId="5D9E04E7" w14:textId="77777777" w:rsidR="00885ACB" w:rsidRDefault="00885ACB" w:rsidP="00885ACB">
      <w:pPr>
        <w:spacing w:after="0" w:line="280" w:lineRule="atLeast"/>
        <w:ind w:left="360" w:right="360"/>
        <w:jc w:val="both"/>
      </w:pPr>
    </w:p>
    <w:p w14:paraId="122EFC78" w14:textId="77777777" w:rsidR="00517621" w:rsidRPr="00517621" w:rsidRDefault="00517621" w:rsidP="00885ACB">
      <w:pPr>
        <w:spacing w:after="0" w:line="280" w:lineRule="atLeast"/>
        <w:ind w:left="360" w:right="360"/>
        <w:jc w:val="both"/>
      </w:pPr>
      <w:r w:rsidRPr="00517621">
        <w:t>The 32 fastest growing occupations are all expected to grow at an annual rate of 1.6 percent or more.  Of the 32 fastest growing jobs, 27 require work experience or on-the-job training.  There are seven occupations in Construction scattered throughout the top 32 fastest growing occupations.</w:t>
      </w:r>
    </w:p>
    <w:p w14:paraId="2F98464F" w14:textId="77777777" w:rsidR="00885ACB" w:rsidRDefault="00885ACB" w:rsidP="00885ACB">
      <w:pPr>
        <w:spacing w:after="0" w:line="280" w:lineRule="atLeast"/>
      </w:pPr>
    </w:p>
    <w:p w14:paraId="7FCE1FCF" w14:textId="77777777" w:rsidR="00885ACB" w:rsidRPr="00885ACB" w:rsidRDefault="002E1FEA" w:rsidP="00EF449A">
      <w:pPr>
        <w:pStyle w:val="Heading3"/>
      </w:pPr>
      <w:bookmarkStart w:id="61" w:name="_Toc383700002"/>
      <w:r>
        <w:t xml:space="preserve">b. </w:t>
      </w:r>
      <w:r w:rsidR="00885ACB" w:rsidRPr="00885ACB">
        <w:t>EMPLOYMENT TRENDS UNINCORPORATED AREA</w:t>
      </w:r>
      <w:bookmarkEnd w:id="61"/>
      <w:r w:rsidR="00885ACB" w:rsidRPr="00885ACB">
        <w:fldChar w:fldCharType="begin"/>
      </w:r>
      <w:r w:rsidR="00885ACB" w:rsidRPr="00885ACB">
        <w:instrText xml:space="preserve"> TC"</w:instrText>
      </w:r>
      <w:bookmarkStart w:id="62" w:name="_Toc53806453"/>
      <w:bookmarkStart w:id="63" w:name="_Toc66156045"/>
      <w:bookmarkStart w:id="64" w:name="_Toc76443965"/>
      <w:bookmarkStart w:id="65" w:name="_Toc123887095"/>
      <w:r w:rsidR="00885ACB" w:rsidRPr="00885ACB">
        <w:instrText>Employment Trends Unincorporated Area</w:instrText>
      </w:r>
      <w:bookmarkEnd w:id="62"/>
      <w:bookmarkEnd w:id="63"/>
      <w:bookmarkEnd w:id="64"/>
      <w:bookmarkEnd w:id="65"/>
      <w:r w:rsidR="00885ACB" w:rsidRPr="00885ACB">
        <w:instrText xml:space="preserve">"\l 3\ </w:instrText>
      </w:r>
      <w:r w:rsidR="00885ACB" w:rsidRPr="00885ACB">
        <w:fldChar w:fldCharType="end"/>
      </w:r>
    </w:p>
    <w:p w14:paraId="21A7439C" w14:textId="77777777" w:rsidR="00885ACB" w:rsidRPr="00885ACB" w:rsidRDefault="00885ACB" w:rsidP="00885ACB">
      <w:pPr>
        <w:spacing w:after="0" w:line="280" w:lineRule="atLeast"/>
        <w:jc w:val="both"/>
      </w:pPr>
      <w:r w:rsidRPr="00885ACB">
        <w:t xml:space="preserve">The Available ACS data for employment has a high margin of error (total estimated workforce is larger than the total unincorporated population), and while included in the following tables, data from the 2000 census or other sources was left in place as it is assumed to be of much higher accuracy.  </w:t>
      </w:r>
    </w:p>
    <w:p w14:paraId="28D97171" w14:textId="77777777" w:rsidR="00885ACB" w:rsidRPr="00885ACB" w:rsidRDefault="00885ACB" w:rsidP="00885ACB">
      <w:pPr>
        <w:spacing w:after="0" w:line="280" w:lineRule="atLeast"/>
        <w:jc w:val="both"/>
      </w:pPr>
      <w:r w:rsidRPr="00885ACB">
        <w:rPr>
          <w:highlight w:val="yellow"/>
        </w:rPr>
        <w:fldChar w:fldCharType="begin"/>
      </w:r>
      <w:r w:rsidRPr="00885ACB">
        <w:rPr>
          <w:highlight w:val="yellow"/>
        </w:rPr>
        <w:instrText xml:space="preserve"> TC"</w:instrText>
      </w:r>
      <w:bookmarkStart w:id="66" w:name="_Toc53809074"/>
      <w:bookmarkStart w:id="67" w:name="_Toc76444416"/>
      <w:bookmarkStart w:id="68" w:name="_Toc106530162"/>
      <w:bookmarkStart w:id="69" w:name="_Toc123886991"/>
      <w:r w:rsidRPr="00885ACB">
        <w:rPr>
          <w:highlight w:val="yellow"/>
        </w:rPr>
        <w:instrText>Table 22</w:instrText>
      </w:r>
      <w:r w:rsidRPr="00885ACB">
        <w:rPr>
          <w:highlight w:val="yellow"/>
        </w:rPr>
        <w:tab/>
        <w:instrText>Employment by Industry, Mono County</w:instrText>
      </w:r>
      <w:bookmarkEnd w:id="66"/>
      <w:bookmarkEnd w:id="67"/>
      <w:bookmarkEnd w:id="68"/>
      <w:bookmarkEnd w:id="69"/>
      <w:r w:rsidRPr="00885ACB">
        <w:rPr>
          <w:highlight w:val="yellow"/>
        </w:rPr>
        <w:instrText xml:space="preserve">"\f t </w:instrText>
      </w:r>
      <w:r w:rsidRPr="00885ACB">
        <w:rPr>
          <w:highlight w:val="yellow"/>
        </w:rPr>
        <w:fldChar w:fldCharType="end"/>
      </w:r>
      <w:r w:rsidRPr="00885ACB">
        <w:t>Employment data for March, 2009 from the Employment Development Department and the 2011 ACS in parenthesis where applicable, show the following current employment by industry (not seasonally adjusted):</w:t>
      </w:r>
    </w:p>
    <w:p w14:paraId="38E1D79D" w14:textId="77777777" w:rsidR="00517621" w:rsidRPr="00517621" w:rsidRDefault="00517621" w:rsidP="00517621">
      <w:pPr>
        <w:spacing w:after="0" w:line="280" w:lineRule="atLeast"/>
        <w:jc w:val="both"/>
      </w:pPr>
    </w:p>
    <w:p w14:paraId="4B197A86" w14:textId="77777777" w:rsidR="00885ACB" w:rsidRPr="00885ACB" w:rsidRDefault="002E1FEA" w:rsidP="00EF449A">
      <w:pPr>
        <w:pStyle w:val="Heading3"/>
      </w:pPr>
      <w:bookmarkStart w:id="70" w:name="_Toc383700003"/>
      <w:r>
        <w:t xml:space="preserve">c. </w:t>
      </w:r>
      <w:r w:rsidR="00885ACB" w:rsidRPr="00885ACB">
        <w:t>MAJOR EMPLOYERS IN MONO COUNTY</w:t>
      </w:r>
      <w:bookmarkEnd w:id="70"/>
      <w:r w:rsidR="00885ACB" w:rsidRPr="00885ACB">
        <w:fldChar w:fldCharType="begin"/>
      </w:r>
      <w:r w:rsidR="00885ACB" w:rsidRPr="00885ACB">
        <w:instrText xml:space="preserve"> TC"</w:instrText>
      </w:r>
      <w:bookmarkStart w:id="71" w:name="_Toc53806454"/>
      <w:bookmarkStart w:id="72" w:name="_Toc66156046"/>
      <w:bookmarkStart w:id="73" w:name="_Toc76443966"/>
      <w:bookmarkStart w:id="74" w:name="_Toc123887096"/>
      <w:r w:rsidR="00885ACB" w:rsidRPr="00885ACB">
        <w:instrText>Major Employers in Mono County</w:instrText>
      </w:r>
      <w:bookmarkEnd w:id="71"/>
      <w:bookmarkEnd w:id="72"/>
      <w:bookmarkEnd w:id="73"/>
      <w:bookmarkEnd w:id="74"/>
      <w:r w:rsidR="00885ACB" w:rsidRPr="00885ACB">
        <w:instrText xml:space="preserve">"\l 3 </w:instrText>
      </w:r>
      <w:r w:rsidR="00885ACB" w:rsidRPr="00885ACB">
        <w:fldChar w:fldCharType="end"/>
      </w:r>
    </w:p>
    <w:p w14:paraId="2B7E5460" w14:textId="77777777" w:rsidR="00885ACB" w:rsidRPr="00885ACB" w:rsidRDefault="00885ACB" w:rsidP="00885ACB">
      <w:pPr>
        <w:spacing w:after="0" w:line="280" w:lineRule="atLeast"/>
        <w:jc w:val="both"/>
      </w:pPr>
      <w:r w:rsidRPr="00885ACB">
        <w:t xml:space="preserve">The following list of major employers in Mono County was developed using the 2009 America's Labor Market Information System Employer Database (California Employment Development Department, </w:t>
      </w:r>
      <w:r w:rsidRPr="00885ACB">
        <w:rPr>
          <w:rStyle w:val="Hyperlink"/>
        </w:rPr>
        <w:t>www.labormarketinfo.edd.ca.gov</w:t>
      </w:r>
      <w:r w:rsidRPr="00885ACB">
        <w:t>). Many of these employers are located in Mammoth Lakes, a significant commute from many areas of the County.</w:t>
      </w:r>
    </w:p>
    <w:p w14:paraId="2877BDB8" w14:textId="77777777" w:rsidR="00885ACB" w:rsidRPr="00885ACB" w:rsidRDefault="00885ACB" w:rsidP="00885ACB">
      <w:pPr>
        <w:spacing w:after="0" w:line="280" w:lineRule="atLeast"/>
        <w:jc w:val="both"/>
      </w:pPr>
    </w:p>
    <w:p w14:paraId="14B60354" w14:textId="77777777" w:rsidR="00885ACB" w:rsidRPr="00885ACB" w:rsidRDefault="00885ACB" w:rsidP="00885ACB">
      <w:pPr>
        <w:tabs>
          <w:tab w:val="left" w:pos="4320"/>
          <w:tab w:val="left" w:pos="6480"/>
        </w:tabs>
        <w:spacing w:after="0" w:line="280" w:lineRule="atLeast"/>
        <w:ind w:left="360"/>
        <w:jc w:val="both"/>
        <w:rPr>
          <w:u w:val="single"/>
        </w:rPr>
      </w:pPr>
      <w:r w:rsidRPr="00885ACB">
        <w:rPr>
          <w:u w:val="single"/>
        </w:rPr>
        <w:t>Employer Name</w:t>
      </w:r>
      <w:r w:rsidRPr="00885ACB">
        <w:rPr>
          <w:u w:val="single"/>
        </w:rPr>
        <w:tab/>
        <w:t>Location</w:t>
      </w:r>
      <w:r w:rsidRPr="00885ACB">
        <w:rPr>
          <w:u w:val="single"/>
        </w:rPr>
        <w:tab/>
        <w:t>Industry</w:t>
      </w:r>
      <w:r w:rsidRPr="00885ACB">
        <w:rPr>
          <w:u w:val="single"/>
        </w:rPr>
        <w:tab/>
      </w:r>
    </w:p>
    <w:p w14:paraId="25AA6BEF" w14:textId="77777777" w:rsidR="00885ACB" w:rsidRPr="00885ACB" w:rsidRDefault="00885ACB" w:rsidP="00885ACB">
      <w:pPr>
        <w:tabs>
          <w:tab w:val="left" w:pos="4320"/>
          <w:tab w:val="left" w:pos="6480"/>
        </w:tabs>
        <w:spacing w:after="0" w:line="280" w:lineRule="atLeast"/>
        <w:ind w:left="360"/>
        <w:jc w:val="both"/>
      </w:pPr>
      <w:r w:rsidRPr="00885ACB">
        <w:t>Eastern Sierra Unified School Dist</w:t>
      </w:r>
      <w:r w:rsidRPr="00885ACB">
        <w:tab/>
        <w:t>Various</w:t>
      </w:r>
      <w:r w:rsidRPr="00885ACB">
        <w:tab/>
        <w:t>Schools</w:t>
      </w:r>
    </w:p>
    <w:p w14:paraId="15FB6F11" w14:textId="77777777" w:rsidR="00885ACB" w:rsidRPr="00885ACB" w:rsidRDefault="00885ACB" w:rsidP="00885ACB">
      <w:pPr>
        <w:tabs>
          <w:tab w:val="left" w:pos="4320"/>
          <w:tab w:val="left" w:pos="6480"/>
        </w:tabs>
        <w:spacing w:after="0" w:line="280" w:lineRule="atLeast"/>
        <w:ind w:left="360"/>
        <w:jc w:val="both"/>
      </w:pPr>
      <w:r w:rsidRPr="00885ACB">
        <w:t>June Mountain Ski Area</w:t>
      </w:r>
      <w:r w:rsidRPr="00885ACB">
        <w:tab/>
        <w:t>June Lake</w:t>
      </w:r>
      <w:r w:rsidRPr="00885ACB">
        <w:tab/>
        <w:t>Hotels &amp; Motels</w:t>
      </w:r>
    </w:p>
    <w:p w14:paraId="69E09E57" w14:textId="77777777" w:rsidR="00885ACB" w:rsidRPr="00885ACB" w:rsidRDefault="00885ACB" w:rsidP="00885ACB">
      <w:pPr>
        <w:tabs>
          <w:tab w:val="left" w:pos="4320"/>
          <w:tab w:val="left" w:pos="6480"/>
        </w:tabs>
        <w:spacing w:after="0" w:line="280" w:lineRule="atLeast"/>
        <w:ind w:left="360"/>
        <w:jc w:val="both"/>
      </w:pPr>
      <w:r w:rsidRPr="00885ACB">
        <w:t>Juniper Springs Resort</w:t>
      </w:r>
      <w:r w:rsidRPr="00885ACB">
        <w:tab/>
        <w:t>June Lakes</w:t>
      </w:r>
      <w:r w:rsidRPr="00885ACB">
        <w:tab/>
        <w:t>Resort</w:t>
      </w:r>
    </w:p>
    <w:p w14:paraId="69274E2A" w14:textId="77777777" w:rsidR="00885ACB" w:rsidRPr="00885ACB" w:rsidRDefault="00885ACB" w:rsidP="00885ACB">
      <w:pPr>
        <w:tabs>
          <w:tab w:val="left" w:pos="4320"/>
          <w:tab w:val="left" w:pos="6480"/>
        </w:tabs>
        <w:spacing w:after="0" w:line="280" w:lineRule="atLeast"/>
        <w:ind w:left="360"/>
        <w:jc w:val="both"/>
      </w:pPr>
      <w:r w:rsidRPr="00885ACB">
        <w:t>Mammoth Hospital</w:t>
      </w:r>
      <w:r w:rsidRPr="00885ACB">
        <w:tab/>
        <w:t>Mammoth Lakes</w:t>
      </w:r>
      <w:r w:rsidRPr="00885ACB">
        <w:tab/>
        <w:t>Hospitals</w:t>
      </w:r>
    </w:p>
    <w:p w14:paraId="23EE83F1" w14:textId="77777777" w:rsidR="00885ACB" w:rsidRPr="00885ACB" w:rsidRDefault="00885ACB" w:rsidP="00885ACB">
      <w:pPr>
        <w:tabs>
          <w:tab w:val="left" w:pos="4320"/>
          <w:tab w:val="left" w:pos="6480"/>
        </w:tabs>
        <w:spacing w:after="0" w:line="280" w:lineRule="atLeast"/>
        <w:ind w:left="360"/>
        <w:jc w:val="both"/>
      </w:pPr>
      <w:r w:rsidRPr="00885ACB">
        <w:t>Mammoth Lakes Fire Dept</w:t>
      </w:r>
      <w:r w:rsidRPr="00885ACB">
        <w:tab/>
        <w:t>Mammoth Lakes</w:t>
      </w:r>
      <w:r w:rsidRPr="00885ACB">
        <w:tab/>
        <w:t xml:space="preserve">Misc. Business </w:t>
      </w:r>
    </w:p>
    <w:p w14:paraId="1048707F" w14:textId="77777777" w:rsidR="00885ACB" w:rsidRPr="00885ACB" w:rsidRDefault="00885ACB" w:rsidP="00885ACB">
      <w:pPr>
        <w:tabs>
          <w:tab w:val="left" w:pos="4320"/>
          <w:tab w:val="left" w:pos="6480"/>
        </w:tabs>
        <w:spacing w:after="0" w:line="280" w:lineRule="atLeast"/>
        <w:ind w:left="360"/>
        <w:jc w:val="both"/>
      </w:pPr>
      <w:r w:rsidRPr="00885ACB">
        <w:t>Mammoth Mountain Inn</w:t>
      </w:r>
      <w:r w:rsidRPr="00885ACB">
        <w:tab/>
        <w:t>Mammoth Lakes</w:t>
      </w:r>
      <w:r w:rsidRPr="00885ACB">
        <w:tab/>
        <w:t>Hotels &amp; Motels</w:t>
      </w:r>
    </w:p>
    <w:p w14:paraId="4610779A" w14:textId="77777777" w:rsidR="00885ACB" w:rsidRPr="00885ACB" w:rsidRDefault="00885ACB" w:rsidP="00885ACB">
      <w:pPr>
        <w:tabs>
          <w:tab w:val="left" w:pos="4320"/>
          <w:tab w:val="left" w:pos="6480"/>
        </w:tabs>
        <w:spacing w:after="0" w:line="280" w:lineRule="atLeast"/>
        <w:ind w:left="360"/>
        <w:jc w:val="both"/>
      </w:pPr>
      <w:r w:rsidRPr="00885ACB">
        <w:t>Mammoth Mountain Ski Area</w:t>
      </w:r>
      <w:r w:rsidRPr="00885ACB">
        <w:tab/>
        <w:t>Mammoth Lakes</w:t>
      </w:r>
      <w:r w:rsidRPr="00885ACB">
        <w:tab/>
        <w:t>Hotels &amp; Motels</w:t>
      </w:r>
    </w:p>
    <w:p w14:paraId="00C92305" w14:textId="77777777" w:rsidR="00885ACB" w:rsidRPr="00885ACB" w:rsidRDefault="00885ACB" w:rsidP="00885ACB">
      <w:pPr>
        <w:tabs>
          <w:tab w:val="left" w:pos="4320"/>
          <w:tab w:val="left" w:pos="6480"/>
        </w:tabs>
        <w:spacing w:after="0" w:line="280" w:lineRule="atLeast"/>
        <w:ind w:left="360"/>
        <w:jc w:val="both"/>
      </w:pPr>
      <w:r w:rsidRPr="00885ACB">
        <w:t>Mono County Government</w:t>
      </w:r>
      <w:r w:rsidRPr="00885ACB">
        <w:tab/>
        <w:t>Bridgeport</w:t>
      </w:r>
      <w:r w:rsidRPr="00885ACB">
        <w:tab/>
        <w:t>Local government</w:t>
      </w:r>
    </w:p>
    <w:p w14:paraId="3F5122A6" w14:textId="77777777" w:rsidR="00885ACB" w:rsidRPr="00885ACB" w:rsidRDefault="00885ACB" w:rsidP="00885ACB">
      <w:pPr>
        <w:tabs>
          <w:tab w:val="left" w:pos="4320"/>
          <w:tab w:val="left" w:pos="6480"/>
        </w:tabs>
        <w:spacing w:after="0" w:line="280" w:lineRule="atLeast"/>
        <w:ind w:left="360"/>
        <w:jc w:val="both"/>
      </w:pPr>
      <w:r w:rsidRPr="00885ACB">
        <w:t>Town of Mammoth Lakes</w:t>
      </w:r>
      <w:r w:rsidRPr="00885ACB">
        <w:tab/>
        <w:t xml:space="preserve">Mammoth Lakes </w:t>
      </w:r>
      <w:r w:rsidRPr="00885ACB">
        <w:tab/>
        <w:t>Local government</w:t>
      </w:r>
    </w:p>
    <w:p w14:paraId="26AB1E1D" w14:textId="77777777" w:rsidR="00885ACB" w:rsidRPr="00885ACB" w:rsidRDefault="00885ACB" w:rsidP="00885ACB">
      <w:pPr>
        <w:tabs>
          <w:tab w:val="left" w:pos="4320"/>
          <w:tab w:val="left" w:pos="6480"/>
        </w:tabs>
        <w:spacing w:after="0" w:line="280" w:lineRule="atLeast"/>
        <w:ind w:left="360"/>
        <w:jc w:val="both"/>
      </w:pPr>
      <w:r w:rsidRPr="00885ACB">
        <w:t>US Forest Service</w:t>
      </w:r>
      <w:r w:rsidRPr="00885ACB">
        <w:tab/>
        <w:t>Various</w:t>
      </w:r>
      <w:r w:rsidRPr="00885ACB">
        <w:tab/>
        <w:t>Federal government</w:t>
      </w:r>
    </w:p>
    <w:p w14:paraId="0DAEFB61" w14:textId="77777777" w:rsidR="00885ACB" w:rsidRPr="00885ACB" w:rsidRDefault="00885ACB" w:rsidP="00885ACB">
      <w:pPr>
        <w:tabs>
          <w:tab w:val="left" w:pos="4320"/>
          <w:tab w:val="left" w:pos="6480"/>
        </w:tabs>
        <w:spacing w:after="0" w:line="280" w:lineRule="atLeast"/>
        <w:ind w:left="360"/>
        <w:jc w:val="both"/>
      </w:pPr>
      <w:r w:rsidRPr="00885ACB">
        <w:t>Vons</w:t>
      </w:r>
      <w:r w:rsidRPr="00885ACB">
        <w:tab/>
        <w:t>Mammoth Lakes</w:t>
      </w:r>
      <w:r w:rsidRPr="00885ACB">
        <w:tab/>
        <w:t>Retail</w:t>
      </w:r>
    </w:p>
    <w:p w14:paraId="0CEE7E99" w14:textId="77777777" w:rsidR="00885ACB" w:rsidRDefault="00885ACB" w:rsidP="00885ACB">
      <w:pPr>
        <w:tabs>
          <w:tab w:val="left" w:pos="4320"/>
          <w:tab w:val="left" w:pos="6480"/>
        </w:tabs>
        <w:spacing w:after="0" w:line="280" w:lineRule="atLeast"/>
        <w:ind w:left="360"/>
        <w:jc w:val="both"/>
      </w:pPr>
      <w:r w:rsidRPr="00885ACB">
        <w:t>Westin-Monache Resort</w:t>
      </w:r>
      <w:r w:rsidRPr="00885ACB">
        <w:tab/>
        <w:t xml:space="preserve">Mammoth Lakes </w:t>
      </w:r>
      <w:r w:rsidRPr="00885ACB">
        <w:tab/>
        <w:t>Hotels and motels</w:t>
      </w:r>
    </w:p>
    <w:p w14:paraId="347B7C90" w14:textId="77777777" w:rsidR="000064BC" w:rsidRDefault="000064BC" w:rsidP="00885ACB">
      <w:pPr>
        <w:tabs>
          <w:tab w:val="left" w:pos="4320"/>
          <w:tab w:val="left" w:pos="6480"/>
        </w:tabs>
        <w:spacing w:after="0" w:line="280" w:lineRule="atLeast"/>
        <w:ind w:left="360"/>
        <w:jc w:val="both"/>
      </w:pPr>
    </w:p>
    <w:p w14:paraId="00667702" w14:textId="77777777" w:rsidR="000064BC" w:rsidRDefault="000064BC" w:rsidP="00885ACB">
      <w:pPr>
        <w:tabs>
          <w:tab w:val="left" w:pos="4320"/>
          <w:tab w:val="left" w:pos="6480"/>
        </w:tabs>
        <w:spacing w:after="0" w:line="280" w:lineRule="atLeast"/>
        <w:ind w:left="360"/>
        <w:jc w:val="both"/>
      </w:pPr>
      <w:r>
        <w:t>Table 12 Employment by Industry, 1990-2011</w:t>
      </w:r>
    </w:p>
    <w:tbl>
      <w:tblPr>
        <w:tblW w:w="113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A0" w:firstRow="1" w:lastRow="0" w:firstColumn="1" w:lastColumn="0" w:noHBand="0" w:noVBand="0"/>
      </w:tblPr>
      <w:tblGrid>
        <w:gridCol w:w="1055"/>
        <w:gridCol w:w="1710"/>
        <w:gridCol w:w="939"/>
        <w:gridCol w:w="1076"/>
        <w:gridCol w:w="993"/>
        <w:gridCol w:w="1159"/>
        <w:gridCol w:w="1055"/>
        <w:gridCol w:w="1055"/>
        <w:gridCol w:w="1170"/>
        <w:gridCol w:w="1170"/>
      </w:tblGrid>
      <w:tr w:rsidR="001658E4" w:rsidRPr="00902009" w14:paraId="2DC089F0" w14:textId="77777777" w:rsidTr="001658E4">
        <w:trPr>
          <w:trHeight w:val="346"/>
        </w:trPr>
        <w:tc>
          <w:tcPr>
            <w:tcW w:w="2765" w:type="dxa"/>
            <w:gridSpan w:val="2"/>
            <w:shd w:val="clear" w:color="auto" w:fill="E6E6E6"/>
          </w:tcPr>
          <w:p w14:paraId="75F04145" w14:textId="77777777" w:rsidR="001658E4" w:rsidRPr="00902009" w:rsidRDefault="001658E4" w:rsidP="00D666B5">
            <w:pPr>
              <w:spacing w:line="280" w:lineRule="atLeast"/>
              <w:jc w:val="center"/>
            </w:pPr>
          </w:p>
        </w:tc>
        <w:tc>
          <w:tcPr>
            <w:tcW w:w="2015" w:type="dxa"/>
            <w:gridSpan w:val="2"/>
            <w:shd w:val="clear" w:color="auto" w:fill="E6E6E6"/>
          </w:tcPr>
          <w:p w14:paraId="1D04E117" w14:textId="77777777" w:rsidR="001658E4" w:rsidRPr="00902009" w:rsidRDefault="001658E4" w:rsidP="00D666B5">
            <w:pPr>
              <w:spacing w:line="280" w:lineRule="atLeast"/>
              <w:jc w:val="center"/>
            </w:pPr>
            <w:r w:rsidRPr="00902009">
              <w:t>1990</w:t>
            </w:r>
          </w:p>
        </w:tc>
        <w:tc>
          <w:tcPr>
            <w:tcW w:w="3207" w:type="dxa"/>
            <w:gridSpan w:val="3"/>
            <w:shd w:val="clear" w:color="auto" w:fill="E6E6E6"/>
          </w:tcPr>
          <w:p w14:paraId="5F3BFC4E" w14:textId="77777777" w:rsidR="001658E4" w:rsidRPr="00902009" w:rsidRDefault="001658E4" w:rsidP="00D666B5">
            <w:pPr>
              <w:spacing w:line="280" w:lineRule="atLeast"/>
              <w:jc w:val="center"/>
            </w:pPr>
            <w:r w:rsidRPr="00902009">
              <w:t>2000</w:t>
            </w:r>
          </w:p>
        </w:tc>
        <w:tc>
          <w:tcPr>
            <w:tcW w:w="3395" w:type="dxa"/>
            <w:gridSpan w:val="3"/>
            <w:shd w:val="clear" w:color="auto" w:fill="E6E6E6"/>
          </w:tcPr>
          <w:p w14:paraId="1B4B2B15" w14:textId="77777777" w:rsidR="001658E4" w:rsidRPr="00902009" w:rsidRDefault="001658E4" w:rsidP="00D666B5">
            <w:pPr>
              <w:spacing w:line="280" w:lineRule="atLeast"/>
              <w:jc w:val="center"/>
            </w:pPr>
            <w:r w:rsidRPr="00902009">
              <w:t>2011 ACS</w:t>
            </w:r>
          </w:p>
        </w:tc>
      </w:tr>
      <w:tr w:rsidR="001658E4" w:rsidRPr="00902009" w14:paraId="33FD2AA7" w14:textId="77777777" w:rsidTr="001658E4">
        <w:trPr>
          <w:trHeight w:val="575"/>
        </w:trPr>
        <w:tc>
          <w:tcPr>
            <w:tcW w:w="2765" w:type="dxa"/>
            <w:gridSpan w:val="2"/>
            <w:tcBorders>
              <w:bottom w:val="single" w:sz="4" w:space="0" w:color="auto"/>
            </w:tcBorders>
            <w:shd w:val="clear" w:color="auto" w:fill="E6E6E6"/>
            <w:vAlign w:val="bottom"/>
          </w:tcPr>
          <w:p w14:paraId="4E7896B3" w14:textId="77777777" w:rsidR="001658E4" w:rsidRPr="00902009" w:rsidRDefault="001658E4" w:rsidP="00D666B5">
            <w:pPr>
              <w:spacing w:line="280" w:lineRule="atLeast"/>
              <w:ind w:firstLine="240"/>
              <w:jc w:val="center"/>
            </w:pPr>
            <w:r w:rsidRPr="00902009">
              <w:t>Industry Type</w:t>
            </w:r>
          </w:p>
        </w:tc>
        <w:tc>
          <w:tcPr>
            <w:tcW w:w="939" w:type="dxa"/>
            <w:tcBorders>
              <w:bottom w:val="single" w:sz="4" w:space="0" w:color="auto"/>
            </w:tcBorders>
            <w:shd w:val="clear" w:color="auto" w:fill="E6E6E6"/>
          </w:tcPr>
          <w:p w14:paraId="033A3B0E" w14:textId="77777777" w:rsidR="001658E4" w:rsidRPr="00902009" w:rsidRDefault="001658E4" w:rsidP="00D666B5">
            <w:pPr>
              <w:spacing w:line="280" w:lineRule="atLeast"/>
              <w:jc w:val="center"/>
            </w:pPr>
            <w:r w:rsidRPr="00902009">
              <w:t>#</w:t>
            </w:r>
          </w:p>
        </w:tc>
        <w:tc>
          <w:tcPr>
            <w:tcW w:w="1076" w:type="dxa"/>
            <w:tcBorders>
              <w:bottom w:val="single" w:sz="4" w:space="0" w:color="auto"/>
            </w:tcBorders>
            <w:shd w:val="clear" w:color="auto" w:fill="E6E6E6"/>
          </w:tcPr>
          <w:p w14:paraId="6BF83C62" w14:textId="77777777" w:rsidR="001658E4" w:rsidRPr="00902009" w:rsidRDefault="001658E4" w:rsidP="00D666B5">
            <w:pPr>
              <w:spacing w:line="280" w:lineRule="atLeast"/>
              <w:jc w:val="center"/>
            </w:pPr>
            <w:r w:rsidRPr="00902009">
              <w:t>%</w:t>
            </w:r>
          </w:p>
        </w:tc>
        <w:tc>
          <w:tcPr>
            <w:tcW w:w="993" w:type="dxa"/>
            <w:tcBorders>
              <w:bottom w:val="single" w:sz="4" w:space="0" w:color="auto"/>
            </w:tcBorders>
            <w:shd w:val="clear" w:color="auto" w:fill="E6E6E6"/>
          </w:tcPr>
          <w:p w14:paraId="2D317391" w14:textId="77777777" w:rsidR="001658E4" w:rsidRPr="00902009" w:rsidRDefault="001658E4" w:rsidP="00D666B5">
            <w:pPr>
              <w:spacing w:line="280" w:lineRule="atLeast"/>
              <w:jc w:val="center"/>
            </w:pPr>
            <w:r w:rsidRPr="00902009">
              <w:t>#</w:t>
            </w:r>
          </w:p>
        </w:tc>
        <w:tc>
          <w:tcPr>
            <w:tcW w:w="1159" w:type="dxa"/>
            <w:tcBorders>
              <w:bottom w:val="single" w:sz="4" w:space="0" w:color="auto"/>
            </w:tcBorders>
            <w:shd w:val="clear" w:color="auto" w:fill="E6E6E6"/>
          </w:tcPr>
          <w:p w14:paraId="5D2B44BC" w14:textId="77777777" w:rsidR="001658E4" w:rsidRPr="00902009" w:rsidRDefault="001658E4" w:rsidP="00D666B5">
            <w:pPr>
              <w:spacing w:line="280" w:lineRule="atLeast"/>
              <w:jc w:val="center"/>
            </w:pPr>
            <w:r w:rsidRPr="00902009">
              <w:t>%</w:t>
            </w:r>
          </w:p>
        </w:tc>
        <w:tc>
          <w:tcPr>
            <w:tcW w:w="1055" w:type="dxa"/>
            <w:tcBorders>
              <w:bottom w:val="single" w:sz="4" w:space="0" w:color="auto"/>
            </w:tcBorders>
            <w:shd w:val="clear" w:color="auto" w:fill="E6E6E6"/>
          </w:tcPr>
          <w:p w14:paraId="5FF8CFF0" w14:textId="77777777" w:rsidR="001658E4" w:rsidRPr="00776763" w:rsidRDefault="001658E4" w:rsidP="00D666B5">
            <w:pPr>
              <w:spacing w:line="280" w:lineRule="atLeast"/>
              <w:jc w:val="center"/>
            </w:pPr>
            <w:r w:rsidRPr="00776763">
              <w:t>%change</w:t>
            </w:r>
          </w:p>
        </w:tc>
        <w:tc>
          <w:tcPr>
            <w:tcW w:w="1055" w:type="dxa"/>
            <w:tcBorders>
              <w:bottom w:val="single" w:sz="4" w:space="0" w:color="auto"/>
            </w:tcBorders>
            <w:shd w:val="clear" w:color="auto" w:fill="E6E6E6"/>
          </w:tcPr>
          <w:p w14:paraId="674E1CC0" w14:textId="77777777" w:rsidR="001658E4" w:rsidRPr="00776763" w:rsidRDefault="001658E4" w:rsidP="00D666B5">
            <w:pPr>
              <w:spacing w:line="280" w:lineRule="atLeast"/>
              <w:jc w:val="center"/>
            </w:pPr>
            <w:r w:rsidRPr="00776763">
              <w:t>#</w:t>
            </w:r>
          </w:p>
        </w:tc>
        <w:tc>
          <w:tcPr>
            <w:tcW w:w="1170" w:type="dxa"/>
            <w:tcBorders>
              <w:bottom w:val="single" w:sz="4" w:space="0" w:color="auto"/>
            </w:tcBorders>
            <w:shd w:val="clear" w:color="auto" w:fill="E6E6E6"/>
          </w:tcPr>
          <w:p w14:paraId="3AB1E78A" w14:textId="77777777" w:rsidR="001658E4" w:rsidRPr="00776763" w:rsidRDefault="001658E4" w:rsidP="00D666B5">
            <w:pPr>
              <w:spacing w:line="280" w:lineRule="atLeast"/>
              <w:jc w:val="center"/>
            </w:pPr>
            <w:r w:rsidRPr="00776763">
              <w:t>%</w:t>
            </w:r>
          </w:p>
        </w:tc>
        <w:tc>
          <w:tcPr>
            <w:tcW w:w="1170" w:type="dxa"/>
            <w:tcBorders>
              <w:bottom w:val="single" w:sz="4" w:space="0" w:color="auto"/>
            </w:tcBorders>
            <w:shd w:val="clear" w:color="auto" w:fill="E6E6E6"/>
          </w:tcPr>
          <w:p w14:paraId="560C614A" w14:textId="77777777" w:rsidR="001658E4" w:rsidRPr="00776763" w:rsidRDefault="001658E4" w:rsidP="00D666B5">
            <w:pPr>
              <w:spacing w:line="280" w:lineRule="atLeast"/>
              <w:jc w:val="center"/>
            </w:pPr>
            <w:r w:rsidRPr="00776763">
              <w:t>%change</w:t>
            </w:r>
          </w:p>
        </w:tc>
      </w:tr>
      <w:tr w:rsidR="001658E4" w:rsidRPr="00902009" w14:paraId="1E93552B" w14:textId="77777777" w:rsidTr="001658E4">
        <w:trPr>
          <w:trHeight w:val="563"/>
        </w:trPr>
        <w:tc>
          <w:tcPr>
            <w:tcW w:w="2765" w:type="dxa"/>
            <w:gridSpan w:val="2"/>
            <w:shd w:val="clear" w:color="auto" w:fill="auto"/>
            <w:vAlign w:val="bottom"/>
          </w:tcPr>
          <w:p w14:paraId="125A092F" w14:textId="77777777" w:rsidR="001658E4" w:rsidRPr="00902009" w:rsidRDefault="001658E4" w:rsidP="00D666B5">
            <w:pPr>
              <w:spacing w:line="280" w:lineRule="atLeast"/>
              <w:ind w:left="252" w:right="162" w:hanging="180"/>
            </w:pPr>
            <w:r w:rsidRPr="00902009">
              <w:t>Agriculture, forestry, fishing and hunting and mining</w:t>
            </w:r>
          </w:p>
        </w:tc>
        <w:tc>
          <w:tcPr>
            <w:tcW w:w="939" w:type="dxa"/>
            <w:shd w:val="clear" w:color="auto" w:fill="auto"/>
            <w:vAlign w:val="center"/>
          </w:tcPr>
          <w:p w14:paraId="231F129D" w14:textId="77777777" w:rsidR="001658E4" w:rsidRPr="00902009" w:rsidRDefault="001658E4" w:rsidP="00D666B5">
            <w:pPr>
              <w:spacing w:line="280" w:lineRule="atLeast"/>
              <w:jc w:val="center"/>
            </w:pPr>
            <w:r w:rsidRPr="00902009">
              <w:t>275</w:t>
            </w:r>
          </w:p>
        </w:tc>
        <w:tc>
          <w:tcPr>
            <w:tcW w:w="1076" w:type="dxa"/>
            <w:shd w:val="clear" w:color="auto" w:fill="auto"/>
            <w:vAlign w:val="center"/>
          </w:tcPr>
          <w:p w14:paraId="7A19CFE6" w14:textId="77777777" w:rsidR="001658E4" w:rsidRPr="00902009" w:rsidRDefault="001658E4" w:rsidP="00D666B5">
            <w:pPr>
              <w:spacing w:line="280" w:lineRule="atLeast"/>
              <w:jc w:val="center"/>
            </w:pPr>
            <w:r w:rsidRPr="00902009">
              <w:t>10.8%</w:t>
            </w:r>
          </w:p>
        </w:tc>
        <w:tc>
          <w:tcPr>
            <w:tcW w:w="993" w:type="dxa"/>
            <w:shd w:val="clear" w:color="auto" w:fill="auto"/>
            <w:vAlign w:val="center"/>
          </w:tcPr>
          <w:p w14:paraId="4B49939B" w14:textId="77777777" w:rsidR="001658E4" w:rsidRPr="00902009" w:rsidRDefault="001658E4" w:rsidP="00D666B5">
            <w:pPr>
              <w:spacing w:line="280" w:lineRule="atLeast"/>
              <w:jc w:val="center"/>
            </w:pPr>
            <w:r w:rsidRPr="00902009">
              <w:t>160</w:t>
            </w:r>
          </w:p>
        </w:tc>
        <w:tc>
          <w:tcPr>
            <w:tcW w:w="1159" w:type="dxa"/>
            <w:shd w:val="clear" w:color="auto" w:fill="auto"/>
            <w:vAlign w:val="center"/>
          </w:tcPr>
          <w:p w14:paraId="60B06E42" w14:textId="77777777" w:rsidR="001658E4" w:rsidRPr="00902009" w:rsidRDefault="001658E4" w:rsidP="00D666B5">
            <w:pPr>
              <w:spacing w:line="280" w:lineRule="atLeast"/>
              <w:jc w:val="center"/>
            </w:pPr>
            <w:r w:rsidRPr="00902009">
              <w:t>5.6%</w:t>
            </w:r>
          </w:p>
        </w:tc>
        <w:tc>
          <w:tcPr>
            <w:tcW w:w="1055" w:type="dxa"/>
          </w:tcPr>
          <w:p w14:paraId="6B82C8B8" w14:textId="77777777" w:rsidR="001658E4" w:rsidRPr="00776763" w:rsidRDefault="001658E4" w:rsidP="001658E4">
            <w:pPr>
              <w:spacing w:line="280" w:lineRule="atLeast"/>
            </w:pPr>
            <w:r w:rsidRPr="00776763">
              <w:t>-5.2%</w:t>
            </w:r>
          </w:p>
        </w:tc>
        <w:tc>
          <w:tcPr>
            <w:tcW w:w="1055" w:type="dxa"/>
            <w:vAlign w:val="center"/>
          </w:tcPr>
          <w:p w14:paraId="135B2685" w14:textId="77777777" w:rsidR="001658E4" w:rsidRPr="00776763" w:rsidRDefault="001658E4" w:rsidP="001658E4">
            <w:pPr>
              <w:spacing w:line="280" w:lineRule="atLeast"/>
            </w:pPr>
            <w:r w:rsidRPr="00776763">
              <w:t>(275)</w:t>
            </w:r>
          </w:p>
        </w:tc>
        <w:tc>
          <w:tcPr>
            <w:tcW w:w="1170" w:type="dxa"/>
            <w:vAlign w:val="center"/>
          </w:tcPr>
          <w:p w14:paraId="2AE1708B" w14:textId="77777777" w:rsidR="001658E4" w:rsidRPr="00776763" w:rsidRDefault="001658E4" w:rsidP="001658E4">
            <w:pPr>
              <w:spacing w:line="280" w:lineRule="atLeast"/>
            </w:pPr>
            <w:r w:rsidRPr="00776763">
              <w:t>(3.9%)</w:t>
            </w:r>
          </w:p>
        </w:tc>
        <w:tc>
          <w:tcPr>
            <w:tcW w:w="1170" w:type="dxa"/>
          </w:tcPr>
          <w:p w14:paraId="25A74F20" w14:textId="77777777" w:rsidR="001658E4" w:rsidRPr="00776763" w:rsidRDefault="001658E4" w:rsidP="001658E4">
            <w:pPr>
              <w:spacing w:line="280" w:lineRule="atLeast"/>
            </w:pPr>
            <w:r w:rsidRPr="00776763">
              <w:t>-1.7%</w:t>
            </w:r>
          </w:p>
        </w:tc>
      </w:tr>
      <w:tr w:rsidR="001658E4" w:rsidRPr="00902009" w14:paraId="6AB8F7BA" w14:textId="77777777" w:rsidTr="001658E4">
        <w:trPr>
          <w:trHeight w:val="346"/>
        </w:trPr>
        <w:tc>
          <w:tcPr>
            <w:tcW w:w="2765" w:type="dxa"/>
            <w:gridSpan w:val="2"/>
            <w:shd w:val="clear" w:color="auto" w:fill="auto"/>
            <w:vAlign w:val="bottom"/>
          </w:tcPr>
          <w:p w14:paraId="15372498" w14:textId="77777777" w:rsidR="001658E4" w:rsidRPr="00902009" w:rsidRDefault="001658E4" w:rsidP="00D666B5">
            <w:pPr>
              <w:spacing w:line="280" w:lineRule="atLeast"/>
              <w:ind w:left="252" w:right="162" w:hanging="180"/>
            </w:pPr>
            <w:r w:rsidRPr="00902009">
              <w:t>Construction</w:t>
            </w:r>
          </w:p>
        </w:tc>
        <w:tc>
          <w:tcPr>
            <w:tcW w:w="939" w:type="dxa"/>
            <w:shd w:val="clear" w:color="auto" w:fill="auto"/>
            <w:vAlign w:val="center"/>
          </w:tcPr>
          <w:p w14:paraId="7F83AA1D" w14:textId="77777777" w:rsidR="001658E4" w:rsidRPr="00902009" w:rsidRDefault="001658E4" w:rsidP="00D666B5">
            <w:pPr>
              <w:spacing w:line="280" w:lineRule="atLeast"/>
              <w:jc w:val="center"/>
            </w:pPr>
            <w:r w:rsidRPr="00902009">
              <w:t>389</w:t>
            </w:r>
          </w:p>
        </w:tc>
        <w:tc>
          <w:tcPr>
            <w:tcW w:w="1076" w:type="dxa"/>
            <w:shd w:val="clear" w:color="auto" w:fill="auto"/>
            <w:vAlign w:val="center"/>
          </w:tcPr>
          <w:p w14:paraId="79222500" w14:textId="77777777" w:rsidR="001658E4" w:rsidRPr="00902009" w:rsidRDefault="001658E4" w:rsidP="00D666B5">
            <w:pPr>
              <w:spacing w:line="280" w:lineRule="atLeast"/>
              <w:jc w:val="center"/>
            </w:pPr>
            <w:r w:rsidRPr="00902009">
              <w:t>15.3%</w:t>
            </w:r>
          </w:p>
        </w:tc>
        <w:tc>
          <w:tcPr>
            <w:tcW w:w="993" w:type="dxa"/>
            <w:shd w:val="clear" w:color="auto" w:fill="auto"/>
            <w:vAlign w:val="center"/>
          </w:tcPr>
          <w:p w14:paraId="2DF2649E" w14:textId="77777777" w:rsidR="001658E4" w:rsidRPr="00902009" w:rsidRDefault="001658E4" w:rsidP="00D666B5">
            <w:pPr>
              <w:spacing w:line="280" w:lineRule="atLeast"/>
              <w:jc w:val="center"/>
            </w:pPr>
            <w:r w:rsidRPr="00902009">
              <w:t>449</w:t>
            </w:r>
          </w:p>
        </w:tc>
        <w:tc>
          <w:tcPr>
            <w:tcW w:w="1159" w:type="dxa"/>
            <w:shd w:val="clear" w:color="auto" w:fill="auto"/>
            <w:vAlign w:val="center"/>
          </w:tcPr>
          <w:p w14:paraId="470ABF5D" w14:textId="77777777" w:rsidR="001658E4" w:rsidRPr="00902009" w:rsidRDefault="001658E4" w:rsidP="00D666B5">
            <w:pPr>
              <w:spacing w:line="280" w:lineRule="atLeast"/>
              <w:jc w:val="center"/>
            </w:pPr>
            <w:r w:rsidRPr="00902009">
              <w:t>15.8%</w:t>
            </w:r>
          </w:p>
        </w:tc>
        <w:tc>
          <w:tcPr>
            <w:tcW w:w="1055" w:type="dxa"/>
          </w:tcPr>
          <w:p w14:paraId="025C34F2" w14:textId="77777777" w:rsidR="001658E4" w:rsidRPr="00776763" w:rsidRDefault="001658E4" w:rsidP="001658E4">
            <w:pPr>
              <w:spacing w:line="280" w:lineRule="atLeast"/>
            </w:pPr>
            <w:r w:rsidRPr="00776763">
              <w:t>+.5%</w:t>
            </w:r>
          </w:p>
        </w:tc>
        <w:tc>
          <w:tcPr>
            <w:tcW w:w="1055" w:type="dxa"/>
            <w:vAlign w:val="center"/>
          </w:tcPr>
          <w:p w14:paraId="2667D972" w14:textId="77777777" w:rsidR="001658E4" w:rsidRPr="00776763" w:rsidRDefault="001658E4" w:rsidP="001658E4">
            <w:pPr>
              <w:spacing w:line="280" w:lineRule="atLeast"/>
            </w:pPr>
            <w:r w:rsidRPr="00776763">
              <w:t>(593)</w:t>
            </w:r>
          </w:p>
        </w:tc>
        <w:tc>
          <w:tcPr>
            <w:tcW w:w="1170" w:type="dxa"/>
            <w:vAlign w:val="center"/>
          </w:tcPr>
          <w:p w14:paraId="790DA05D" w14:textId="77777777" w:rsidR="001658E4" w:rsidRPr="00776763" w:rsidRDefault="001658E4" w:rsidP="001658E4">
            <w:pPr>
              <w:spacing w:line="280" w:lineRule="atLeast"/>
            </w:pPr>
            <w:r w:rsidRPr="00776763">
              <w:t>(8.4%)</w:t>
            </w:r>
          </w:p>
        </w:tc>
        <w:tc>
          <w:tcPr>
            <w:tcW w:w="1170" w:type="dxa"/>
          </w:tcPr>
          <w:p w14:paraId="1ACDF83D" w14:textId="77777777" w:rsidR="001658E4" w:rsidRPr="00776763" w:rsidRDefault="001658E4" w:rsidP="001658E4">
            <w:pPr>
              <w:spacing w:line="280" w:lineRule="atLeast"/>
            </w:pPr>
            <w:r w:rsidRPr="00776763">
              <w:t>-7.4%</w:t>
            </w:r>
          </w:p>
        </w:tc>
      </w:tr>
      <w:tr w:rsidR="001658E4" w:rsidRPr="00902009" w14:paraId="4DCD1D56" w14:textId="77777777" w:rsidTr="001658E4">
        <w:trPr>
          <w:trHeight w:val="346"/>
        </w:trPr>
        <w:tc>
          <w:tcPr>
            <w:tcW w:w="2765" w:type="dxa"/>
            <w:gridSpan w:val="2"/>
            <w:shd w:val="clear" w:color="auto" w:fill="auto"/>
            <w:vAlign w:val="bottom"/>
          </w:tcPr>
          <w:p w14:paraId="550483EB" w14:textId="77777777" w:rsidR="001658E4" w:rsidRPr="00902009" w:rsidRDefault="001658E4" w:rsidP="00D666B5">
            <w:pPr>
              <w:spacing w:line="280" w:lineRule="atLeast"/>
              <w:ind w:left="252" w:right="162" w:hanging="180"/>
            </w:pPr>
            <w:r w:rsidRPr="00902009">
              <w:t>Manufacturing</w:t>
            </w:r>
          </w:p>
        </w:tc>
        <w:tc>
          <w:tcPr>
            <w:tcW w:w="939" w:type="dxa"/>
            <w:shd w:val="clear" w:color="auto" w:fill="auto"/>
            <w:vAlign w:val="center"/>
          </w:tcPr>
          <w:p w14:paraId="2945B70C" w14:textId="77777777" w:rsidR="001658E4" w:rsidRPr="00902009" w:rsidRDefault="001658E4" w:rsidP="00D666B5">
            <w:pPr>
              <w:spacing w:line="280" w:lineRule="atLeast"/>
              <w:jc w:val="center"/>
            </w:pPr>
            <w:r w:rsidRPr="00902009">
              <w:t>79</w:t>
            </w:r>
          </w:p>
        </w:tc>
        <w:tc>
          <w:tcPr>
            <w:tcW w:w="1076" w:type="dxa"/>
            <w:shd w:val="clear" w:color="auto" w:fill="auto"/>
            <w:vAlign w:val="center"/>
          </w:tcPr>
          <w:p w14:paraId="728C17AE" w14:textId="77777777" w:rsidR="001658E4" w:rsidRPr="00902009" w:rsidRDefault="001658E4" w:rsidP="00D666B5">
            <w:pPr>
              <w:spacing w:line="280" w:lineRule="atLeast"/>
              <w:jc w:val="center"/>
            </w:pPr>
            <w:r w:rsidRPr="00902009">
              <w:t>3.1%</w:t>
            </w:r>
          </w:p>
        </w:tc>
        <w:tc>
          <w:tcPr>
            <w:tcW w:w="993" w:type="dxa"/>
            <w:shd w:val="clear" w:color="auto" w:fill="auto"/>
            <w:vAlign w:val="center"/>
          </w:tcPr>
          <w:p w14:paraId="037563A1" w14:textId="77777777" w:rsidR="001658E4" w:rsidRPr="00902009" w:rsidRDefault="001658E4" w:rsidP="00D666B5">
            <w:pPr>
              <w:spacing w:line="280" w:lineRule="atLeast"/>
              <w:jc w:val="center"/>
            </w:pPr>
            <w:r w:rsidRPr="00902009">
              <w:t>101</w:t>
            </w:r>
          </w:p>
        </w:tc>
        <w:tc>
          <w:tcPr>
            <w:tcW w:w="1159" w:type="dxa"/>
            <w:shd w:val="clear" w:color="auto" w:fill="auto"/>
            <w:vAlign w:val="center"/>
          </w:tcPr>
          <w:p w14:paraId="497BBCE1" w14:textId="77777777" w:rsidR="001658E4" w:rsidRPr="00902009" w:rsidRDefault="001658E4" w:rsidP="00D666B5">
            <w:pPr>
              <w:spacing w:line="280" w:lineRule="atLeast"/>
              <w:jc w:val="center"/>
            </w:pPr>
            <w:r w:rsidRPr="00902009">
              <w:t>3.4%</w:t>
            </w:r>
          </w:p>
        </w:tc>
        <w:tc>
          <w:tcPr>
            <w:tcW w:w="1055" w:type="dxa"/>
          </w:tcPr>
          <w:p w14:paraId="2B09CFB8" w14:textId="77777777" w:rsidR="001658E4" w:rsidRPr="00776763" w:rsidRDefault="001658E4" w:rsidP="001658E4">
            <w:pPr>
              <w:spacing w:line="280" w:lineRule="atLeast"/>
            </w:pPr>
            <w:r w:rsidRPr="00776763">
              <w:t>+.3%</w:t>
            </w:r>
          </w:p>
        </w:tc>
        <w:tc>
          <w:tcPr>
            <w:tcW w:w="1055" w:type="dxa"/>
            <w:vAlign w:val="center"/>
          </w:tcPr>
          <w:p w14:paraId="3272805D" w14:textId="77777777" w:rsidR="001658E4" w:rsidRPr="00776763" w:rsidRDefault="001658E4" w:rsidP="001658E4">
            <w:pPr>
              <w:spacing w:line="280" w:lineRule="atLeast"/>
            </w:pPr>
            <w:r w:rsidRPr="00776763">
              <w:t>(179)</w:t>
            </w:r>
          </w:p>
        </w:tc>
        <w:tc>
          <w:tcPr>
            <w:tcW w:w="1170" w:type="dxa"/>
            <w:vAlign w:val="center"/>
          </w:tcPr>
          <w:p w14:paraId="6DB3444D" w14:textId="77777777" w:rsidR="001658E4" w:rsidRPr="00776763" w:rsidRDefault="001658E4" w:rsidP="001658E4">
            <w:pPr>
              <w:spacing w:line="280" w:lineRule="atLeast"/>
            </w:pPr>
            <w:r w:rsidRPr="00776763">
              <w:t>(2.5%)</w:t>
            </w:r>
          </w:p>
        </w:tc>
        <w:tc>
          <w:tcPr>
            <w:tcW w:w="1170" w:type="dxa"/>
          </w:tcPr>
          <w:p w14:paraId="115039FB" w14:textId="77777777" w:rsidR="001658E4" w:rsidRPr="00776763" w:rsidRDefault="001658E4" w:rsidP="001658E4">
            <w:pPr>
              <w:spacing w:line="280" w:lineRule="atLeast"/>
            </w:pPr>
            <w:r w:rsidRPr="00776763">
              <w:t>-.9%</w:t>
            </w:r>
          </w:p>
        </w:tc>
      </w:tr>
      <w:tr w:rsidR="001658E4" w:rsidRPr="00902009" w14:paraId="70D3E617" w14:textId="77777777" w:rsidTr="001658E4">
        <w:trPr>
          <w:trHeight w:val="346"/>
        </w:trPr>
        <w:tc>
          <w:tcPr>
            <w:tcW w:w="2765" w:type="dxa"/>
            <w:gridSpan w:val="2"/>
            <w:shd w:val="clear" w:color="auto" w:fill="auto"/>
            <w:vAlign w:val="bottom"/>
          </w:tcPr>
          <w:p w14:paraId="50EB4D33" w14:textId="77777777" w:rsidR="001658E4" w:rsidRPr="00902009" w:rsidRDefault="001658E4" w:rsidP="00D666B5">
            <w:pPr>
              <w:spacing w:line="280" w:lineRule="atLeast"/>
              <w:ind w:left="252" w:right="162" w:hanging="180"/>
            </w:pPr>
            <w:r w:rsidRPr="00902009">
              <w:t>Wholesale trade</w:t>
            </w:r>
          </w:p>
        </w:tc>
        <w:tc>
          <w:tcPr>
            <w:tcW w:w="939" w:type="dxa"/>
            <w:shd w:val="clear" w:color="auto" w:fill="auto"/>
            <w:vAlign w:val="center"/>
          </w:tcPr>
          <w:p w14:paraId="6DFD7903" w14:textId="77777777" w:rsidR="001658E4" w:rsidRPr="00902009" w:rsidRDefault="001658E4" w:rsidP="00D666B5">
            <w:pPr>
              <w:spacing w:line="280" w:lineRule="atLeast"/>
              <w:jc w:val="center"/>
            </w:pPr>
            <w:r w:rsidRPr="00902009">
              <w:t>25</w:t>
            </w:r>
          </w:p>
        </w:tc>
        <w:tc>
          <w:tcPr>
            <w:tcW w:w="1076" w:type="dxa"/>
            <w:shd w:val="clear" w:color="auto" w:fill="auto"/>
            <w:vAlign w:val="center"/>
          </w:tcPr>
          <w:p w14:paraId="30185FFA" w14:textId="77777777" w:rsidR="001658E4" w:rsidRPr="00902009" w:rsidRDefault="001658E4" w:rsidP="00D666B5">
            <w:pPr>
              <w:spacing w:line="280" w:lineRule="atLeast"/>
              <w:jc w:val="center"/>
            </w:pPr>
            <w:r w:rsidRPr="00902009">
              <w:t>0.9%</w:t>
            </w:r>
          </w:p>
        </w:tc>
        <w:tc>
          <w:tcPr>
            <w:tcW w:w="993" w:type="dxa"/>
            <w:shd w:val="clear" w:color="auto" w:fill="auto"/>
            <w:vAlign w:val="center"/>
          </w:tcPr>
          <w:p w14:paraId="3226C546" w14:textId="77777777" w:rsidR="001658E4" w:rsidRPr="00902009" w:rsidRDefault="001658E4" w:rsidP="00D666B5">
            <w:pPr>
              <w:spacing w:line="280" w:lineRule="atLeast"/>
              <w:jc w:val="center"/>
            </w:pPr>
            <w:r w:rsidRPr="00902009">
              <w:t>0</w:t>
            </w:r>
          </w:p>
        </w:tc>
        <w:tc>
          <w:tcPr>
            <w:tcW w:w="1159" w:type="dxa"/>
            <w:shd w:val="clear" w:color="auto" w:fill="auto"/>
            <w:vAlign w:val="center"/>
          </w:tcPr>
          <w:p w14:paraId="146AE4E6" w14:textId="77777777" w:rsidR="001658E4" w:rsidRPr="00902009" w:rsidRDefault="001658E4" w:rsidP="00D666B5">
            <w:pPr>
              <w:spacing w:line="280" w:lineRule="atLeast"/>
              <w:jc w:val="center"/>
            </w:pPr>
            <w:r w:rsidRPr="00902009">
              <w:t>0.0%</w:t>
            </w:r>
          </w:p>
        </w:tc>
        <w:tc>
          <w:tcPr>
            <w:tcW w:w="1055" w:type="dxa"/>
          </w:tcPr>
          <w:p w14:paraId="63DC168E" w14:textId="77777777" w:rsidR="001658E4" w:rsidRPr="00776763" w:rsidRDefault="001658E4" w:rsidP="001658E4">
            <w:pPr>
              <w:spacing w:line="280" w:lineRule="atLeast"/>
            </w:pPr>
            <w:r w:rsidRPr="00776763">
              <w:t>-.9%</w:t>
            </w:r>
          </w:p>
        </w:tc>
        <w:tc>
          <w:tcPr>
            <w:tcW w:w="1055" w:type="dxa"/>
            <w:vAlign w:val="center"/>
          </w:tcPr>
          <w:p w14:paraId="0D5A3EF9" w14:textId="77777777" w:rsidR="001658E4" w:rsidRPr="00776763" w:rsidRDefault="001658E4" w:rsidP="001658E4">
            <w:pPr>
              <w:spacing w:line="280" w:lineRule="atLeast"/>
            </w:pPr>
            <w:r w:rsidRPr="00776763">
              <w:t>(4)</w:t>
            </w:r>
          </w:p>
        </w:tc>
        <w:tc>
          <w:tcPr>
            <w:tcW w:w="1170" w:type="dxa"/>
            <w:vAlign w:val="center"/>
          </w:tcPr>
          <w:p w14:paraId="5A2E93D2" w14:textId="77777777" w:rsidR="001658E4" w:rsidRPr="00776763" w:rsidRDefault="001658E4" w:rsidP="001658E4">
            <w:pPr>
              <w:spacing w:line="280" w:lineRule="atLeast"/>
            </w:pPr>
            <w:r w:rsidRPr="00776763">
              <w:t>(0.1%)</w:t>
            </w:r>
          </w:p>
        </w:tc>
        <w:tc>
          <w:tcPr>
            <w:tcW w:w="1170" w:type="dxa"/>
          </w:tcPr>
          <w:p w14:paraId="47E9D66D" w14:textId="77777777" w:rsidR="001658E4" w:rsidRPr="00776763" w:rsidRDefault="001658E4" w:rsidP="001658E4">
            <w:pPr>
              <w:spacing w:line="280" w:lineRule="atLeast"/>
            </w:pPr>
            <w:r w:rsidRPr="00776763">
              <w:t>+.1%</w:t>
            </w:r>
          </w:p>
        </w:tc>
      </w:tr>
      <w:tr w:rsidR="001658E4" w:rsidRPr="00902009" w14:paraId="296B2787" w14:textId="77777777" w:rsidTr="001658E4">
        <w:trPr>
          <w:trHeight w:val="346"/>
        </w:trPr>
        <w:tc>
          <w:tcPr>
            <w:tcW w:w="2765" w:type="dxa"/>
            <w:gridSpan w:val="2"/>
            <w:shd w:val="clear" w:color="auto" w:fill="auto"/>
            <w:vAlign w:val="bottom"/>
          </w:tcPr>
          <w:p w14:paraId="0C2F0009" w14:textId="77777777" w:rsidR="001658E4" w:rsidRPr="00902009" w:rsidRDefault="001658E4" w:rsidP="00D666B5">
            <w:pPr>
              <w:spacing w:line="280" w:lineRule="atLeast"/>
              <w:ind w:left="252" w:right="162" w:hanging="180"/>
            </w:pPr>
            <w:r w:rsidRPr="00902009">
              <w:t>Retail trade</w:t>
            </w:r>
          </w:p>
        </w:tc>
        <w:tc>
          <w:tcPr>
            <w:tcW w:w="939" w:type="dxa"/>
            <w:shd w:val="clear" w:color="auto" w:fill="auto"/>
            <w:vAlign w:val="center"/>
          </w:tcPr>
          <w:p w14:paraId="02212088" w14:textId="77777777" w:rsidR="001658E4" w:rsidRPr="00902009" w:rsidRDefault="001658E4" w:rsidP="00D666B5">
            <w:pPr>
              <w:spacing w:line="280" w:lineRule="atLeast"/>
              <w:jc w:val="center"/>
            </w:pPr>
            <w:r w:rsidRPr="00902009">
              <w:t>392</w:t>
            </w:r>
          </w:p>
        </w:tc>
        <w:tc>
          <w:tcPr>
            <w:tcW w:w="1076" w:type="dxa"/>
            <w:shd w:val="clear" w:color="auto" w:fill="auto"/>
            <w:vAlign w:val="center"/>
          </w:tcPr>
          <w:p w14:paraId="4BE9AAEB" w14:textId="77777777" w:rsidR="001658E4" w:rsidRPr="00902009" w:rsidRDefault="001658E4" w:rsidP="00D666B5">
            <w:pPr>
              <w:spacing w:line="280" w:lineRule="atLeast"/>
              <w:jc w:val="center"/>
            </w:pPr>
            <w:r w:rsidRPr="00902009">
              <w:t>15.4%</w:t>
            </w:r>
          </w:p>
        </w:tc>
        <w:tc>
          <w:tcPr>
            <w:tcW w:w="993" w:type="dxa"/>
            <w:shd w:val="clear" w:color="auto" w:fill="auto"/>
            <w:vAlign w:val="center"/>
          </w:tcPr>
          <w:p w14:paraId="5E4EC4F9" w14:textId="77777777" w:rsidR="001658E4" w:rsidRPr="00902009" w:rsidRDefault="001658E4" w:rsidP="00D666B5">
            <w:pPr>
              <w:spacing w:line="280" w:lineRule="atLeast"/>
              <w:jc w:val="center"/>
            </w:pPr>
            <w:r w:rsidRPr="00902009">
              <w:t>297</w:t>
            </w:r>
          </w:p>
        </w:tc>
        <w:tc>
          <w:tcPr>
            <w:tcW w:w="1159" w:type="dxa"/>
            <w:shd w:val="clear" w:color="auto" w:fill="auto"/>
            <w:vAlign w:val="center"/>
          </w:tcPr>
          <w:p w14:paraId="0EE77FDE" w14:textId="77777777" w:rsidR="001658E4" w:rsidRPr="00902009" w:rsidRDefault="001658E4" w:rsidP="00D666B5">
            <w:pPr>
              <w:spacing w:line="280" w:lineRule="atLeast"/>
              <w:jc w:val="center"/>
            </w:pPr>
            <w:r w:rsidRPr="00902009">
              <w:t>10.5%</w:t>
            </w:r>
          </w:p>
        </w:tc>
        <w:tc>
          <w:tcPr>
            <w:tcW w:w="1055" w:type="dxa"/>
          </w:tcPr>
          <w:p w14:paraId="62212157" w14:textId="77777777" w:rsidR="001658E4" w:rsidRPr="00776763" w:rsidRDefault="001658E4" w:rsidP="001658E4">
            <w:pPr>
              <w:spacing w:line="280" w:lineRule="atLeast"/>
            </w:pPr>
            <w:r w:rsidRPr="00776763">
              <w:t>-4.9%</w:t>
            </w:r>
          </w:p>
        </w:tc>
        <w:tc>
          <w:tcPr>
            <w:tcW w:w="1055" w:type="dxa"/>
            <w:vAlign w:val="center"/>
          </w:tcPr>
          <w:p w14:paraId="2C090190" w14:textId="77777777" w:rsidR="001658E4" w:rsidRPr="00776763" w:rsidRDefault="001658E4" w:rsidP="001658E4">
            <w:pPr>
              <w:spacing w:line="280" w:lineRule="atLeast"/>
            </w:pPr>
            <w:r w:rsidRPr="00776763">
              <w:t>(708)</w:t>
            </w:r>
          </w:p>
        </w:tc>
        <w:tc>
          <w:tcPr>
            <w:tcW w:w="1170" w:type="dxa"/>
            <w:vAlign w:val="center"/>
          </w:tcPr>
          <w:p w14:paraId="708DCDEC" w14:textId="77777777" w:rsidR="001658E4" w:rsidRPr="00776763" w:rsidRDefault="001658E4" w:rsidP="001658E4">
            <w:pPr>
              <w:spacing w:line="280" w:lineRule="atLeast"/>
            </w:pPr>
            <w:r w:rsidRPr="00776763">
              <w:t>(10%)</w:t>
            </w:r>
          </w:p>
        </w:tc>
        <w:tc>
          <w:tcPr>
            <w:tcW w:w="1170" w:type="dxa"/>
          </w:tcPr>
          <w:p w14:paraId="0B21C40F" w14:textId="77777777" w:rsidR="001658E4" w:rsidRPr="00776763" w:rsidRDefault="001658E4" w:rsidP="001658E4">
            <w:pPr>
              <w:spacing w:line="280" w:lineRule="atLeast"/>
            </w:pPr>
            <w:r w:rsidRPr="00776763">
              <w:t>-.5%</w:t>
            </w:r>
          </w:p>
        </w:tc>
      </w:tr>
      <w:tr w:rsidR="001658E4" w:rsidRPr="00902009" w14:paraId="50DC0118" w14:textId="77777777" w:rsidTr="001658E4">
        <w:trPr>
          <w:trHeight w:val="575"/>
        </w:trPr>
        <w:tc>
          <w:tcPr>
            <w:tcW w:w="2765" w:type="dxa"/>
            <w:gridSpan w:val="2"/>
            <w:shd w:val="clear" w:color="auto" w:fill="auto"/>
            <w:vAlign w:val="bottom"/>
          </w:tcPr>
          <w:p w14:paraId="0ED822BD" w14:textId="77777777" w:rsidR="001658E4" w:rsidRPr="00902009" w:rsidRDefault="001658E4" w:rsidP="00D666B5">
            <w:pPr>
              <w:spacing w:line="280" w:lineRule="atLeast"/>
              <w:ind w:left="252" w:right="162" w:hanging="180"/>
            </w:pPr>
            <w:r w:rsidRPr="00902009">
              <w:t>Transportation and warehousing, and utilities</w:t>
            </w:r>
          </w:p>
        </w:tc>
        <w:tc>
          <w:tcPr>
            <w:tcW w:w="939" w:type="dxa"/>
            <w:shd w:val="clear" w:color="auto" w:fill="auto"/>
            <w:vAlign w:val="center"/>
          </w:tcPr>
          <w:p w14:paraId="14B96516" w14:textId="77777777" w:rsidR="001658E4" w:rsidRPr="00902009" w:rsidRDefault="001658E4" w:rsidP="00D666B5">
            <w:pPr>
              <w:spacing w:line="280" w:lineRule="atLeast"/>
              <w:jc w:val="center"/>
            </w:pPr>
            <w:r w:rsidRPr="00902009">
              <w:t>99</w:t>
            </w:r>
          </w:p>
        </w:tc>
        <w:tc>
          <w:tcPr>
            <w:tcW w:w="1076" w:type="dxa"/>
            <w:shd w:val="clear" w:color="auto" w:fill="auto"/>
            <w:vAlign w:val="center"/>
          </w:tcPr>
          <w:p w14:paraId="2767A7DA" w14:textId="77777777" w:rsidR="001658E4" w:rsidRPr="00902009" w:rsidRDefault="001658E4" w:rsidP="00D666B5">
            <w:pPr>
              <w:spacing w:line="280" w:lineRule="atLeast"/>
              <w:jc w:val="center"/>
            </w:pPr>
            <w:r w:rsidRPr="00902009">
              <w:t>3.9%</w:t>
            </w:r>
          </w:p>
        </w:tc>
        <w:tc>
          <w:tcPr>
            <w:tcW w:w="993" w:type="dxa"/>
            <w:shd w:val="clear" w:color="auto" w:fill="auto"/>
            <w:vAlign w:val="center"/>
          </w:tcPr>
          <w:p w14:paraId="4E9F2C23" w14:textId="77777777" w:rsidR="001658E4" w:rsidRPr="00902009" w:rsidRDefault="001658E4" w:rsidP="00D666B5">
            <w:pPr>
              <w:spacing w:line="280" w:lineRule="atLeast"/>
              <w:jc w:val="center"/>
            </w:pPr>
            <w:r w:rsidRPr="00902009">
              <w:t>105</w:t>
            </w:r>
          </w:p>
        </w:tc>
        <w:tc>
          <w:tcPr>
            <w:tcW w:w="1159" w:type="dxa"/>
            <w:shd w:val="clear" w:color="auto" w:fill="auto"/>
            <w:vAlign w:val="center"/>
          </w:tcPr>
          <w:p w14:paraId="4B6D21AA" w14:textId="77777777" w:rsidR="001658E4" w:rsidRPr="00902009" w:rsidRDefault="001658E4" w:rsidP="00D666B5">
            <w:pPr>
              <w:spacing w:line="280" w:lineRule="atLeast"/>
              <w:jc w:val="center"/>
            </w:pPr>
            <w:r w:rsidRPr="00902009">
              <w:t>3.7%</w:t>
            </w:r>
          </w:p>
        </w:tc>
        <w:tc>
          <w:tcPr>
            <w:tcW w:w="1055" w:type="dxa"/>
          </w:tcPr>
          <w:p w14:paraId="34B166A0" w14:textId="77777777" w:rsidR="001658E4" w:rsidRPr="00776763" w:rsidRDefault="001658E4" w:rsidP="001658E4">
            <w:pPr>
              <w:spacing w:line="280" w:lineRule="atLeast"/>
            </w:pPr>
            <w:r w:rsidRPr="00776763">
              <w:t>-.2%</w:t>
            </w:r>
          </w:p>
        </w:tc>
        <w:tc>
          <w:tcPr>
            <w:tcW w:w="1055" w:type="dxa"/>
            <w:vAlign w:val="center"/>
          </w:tcPr>
          <w:p w14:paraId="14BAE93C" w14:textId="77777777" w:rsidR="001658E4" w:rsidRPr="00776763" w:rsidRDefault="001658E4" w:rsidP="001658E4">
            <w:pPr>
              <w:spacing w:line="280" w:lineRule="atLeast"/>
            </w:pPr>
            <w:r w:rsidRPr="00776763">
              <w:t>(205)</w:t>
            </w:r>
          </w:p>
        </w:tc>
        <w:tc>
          <w:tcPr>
            <w:tcW w:w="1170" w:type="dxa"/>
            <w:vAlign w:val="center"/>
          </w:tcPr>
          <w:p w14:paraId="619265DB" w14:textId="77777777" w:rsidR="001658E4" w:rsidRPr="00776763" w:rsidRDefault="001658E4" w:rsidP="001658E4">
            <w:pPr>
              <w:spacing w:line="280" w:lineRule="atLeast"/>
            </w:pPr>
            <w:r w:rsidRPr="00776763">
              <w:t>(2.9%)</w:t>
            </w:r>
          </w:p>
        </w:tc>
        <w:tc>
          <w:tcPr>
            <w:tcW w:w="1170" w:type="dxa"/>
          </w:tcPr>
          <w:p w14:paraId="485A7234" w14:textId="77777777" w:rsidR="001658E4" w:rsidRPr="00776763" w:rsidRDefault="001658E4" w:rsidP="001658E4">
            <w:pPr>
              <w:spacing w:line="280" w:lineRule="atLeast"/>
            </w:pPr>
            <w:r w:rsidRPr="00776763">
              <w:t>-.8%</w:t>
            </w:r>
          </w:p>
        </w:tc>
      </w:tr>
      <w:tr w:rsidR="001658E4" w:rsidRPr="00902009" w14:paraId="76678F6A" w14:textId="77777777" w:rsidTr="001658E4">
        <w:trPr>
          <w:trHeight w:val="346"/>
        </w:trPr>
        <w:tc>
          <w:tcPr>
            <w:tcW w:w="2765" w:type="dxa"/>
            <w:gridSpan w:val="2"/>
            <w:shd w:val="clear" w:color="auto" w:fill="auto"/>
            <w:vAlign w:val="bottom"/>
          </w:tcPr>
          <w:p w14:paraId="2322C525" w14:textId="77777777" w:rsidR="001658E4" w:rsidRPr="00902009" w:rsidRDefault="001658E4" w:rsidP="00D666B5">
            <w:pPr>
              <w:spacing w:line="280" w:lineRule="atLeast"/>
              <w:ind w:left="252" w:right="162" w:hanging="180"/>
            </w:pPr>
            <w:r w:rsidRPr="00902009">
              <w:t>Information</w:t>
            </w:r>
          </w:p>
        </w:tc>
        <w:tc>
          <w:tcPr>
            <w:tcW w:w="939" w:type="dxa"/>
            <w:shd w:val="clear" w:color="auto" w:fill="auto"/>
            <w:vAlign w:val="center"/>
          </w:tcPr>
          <w:p w14:paraId="07F1E49A" w14:textId="77777777" w:rsidR="001658E4" w:rsidRPr="00902009" w:rsidRDefault="001658E4" w:rsidP="00D666B5">
            <w:pPr>
              <w:spacing w:line="280" w:lineRule="atLeast"/>
              <w:jc w:val="center"/>
            </w:pPr>
            <w:r w:rsidRPr="00902009">
              <w:t>0</w:t>
            </w:r>
          </w:p>
        </w:tc>
        <w:tc>
          <w:tcPr>
            <w:tcW w:w="1076" w:type="dxa"/>
            <w:shd w:val="clear" w:color="auto" w:fill="auto"/>
            <w:vAlign w:val="center"/>
          </w:tcPr>
          <w:p w14:paraId="65DB9859" w14:textId="77777777" w:rsidR="001658E4" w:rsidRPr="00902009" w:rsidRDefault="001658E4" w:rsidP="00D666B5">
            <w:pPr>
              <w:spacing w:line="280" w:lineRule="atLeast"/>
              <w:jc w:val="center"/>
            </w:pPr>
            <w:r w:rsidRPr="00902009">
              <w:t>0.0%</w:t>
            </w:r>
          </w:p>
        </w:tc>
        <w:tc>
          <w:tcPr>
            <w:tcW w:w="993" w:type="dxa"/>
            <w:shd w:val="clear" w:color="auto" w:fill="auto"/>
            <w:vAlign w:val="center"/>
          </w:tcPr>
          <w:p w14:paraId="34707536" w14:textId="77777777" w:rsidR="001658E4" w:rsidRPr="00902009" w:rsidRDefault="001658E4" w:rsidP="00D666B5">
            <w:pPr>
              <w:spacing w:line="280" w:lineRule="atLeast"/>
              <w:jc w:val="center"/>
            </w:pPr>
            <w:r w:rsidRPr="00902009">
              <w:t>61</w:t>
            </w:r>
          </w:p>
        </w:tc>
        <w:tc>
          <w:tcPr>
            <w:tcW w:w="1159" w:type="dxa"/>
            <w:shd w:val="clear" w:color="auto" w:fill="auto"/>
            <w:vAlign w:val="center"/>
          </w:tcPr>
          <w:p w14:paraId="594D5B27" w14:textId="77777777" w:rsidR="001658E4" w:rsidRPr="00902009" w:rsidRDefault="001658E4" w:rsidP="00D666B5">
            <w:pPr>
              <w:spacing w:line="280" w:lineRule="atLeast"/>
              <w:jc w:val="center"/>
            </w:pPr>
            <w:r w:rsidRPr="00902009">
              <w:t>2.1%</w:t>
            </w:r>
          </w:p>
        </w:tc>
        <w:tc>
          <w:tcPr>
            <w:tcW w:w="1055" w:type="dxa"/>
          </w:tcPr>
          <w:p w14:paraId="07AECC66" w14:textId="77777777" w:rsidR="001658E4" w:rsidRPr="00776763" w:rsidRDefault="001658E4" w:rsidP="001658E4">
            <w:pPr>
              <w:spacing w:line="280" w:lineRule="atLeast"/>
            </w:pPr>
            <w:r w:rsidRPr="00776763">
              <w:t>+2.1%</w:t>
            </w:r>
          </w:p>
        </w:tc>
        <w:tc>
          <w:tcPr>
            <w:tcW w:w="1055" w:type="dxa"/>
            <w:vAlign w:val="center"/>
          </w:tcPr>
          <w:p w14:paraId="57E427BD" w14:textId="77777777" w:rsidR="001658E4" w:rsidRPr="00776763" w:rsidRDefault="001658E4" w:rsidP="001658E4">
            <w:pPr>
              <w:spacing w:line="280" w:lineRule="atLeast"/>
            </w:pPr>
            <w:r w:rsidRPr="00776763">
              <w:t>(99)</w:t>
            </w:r>
          </w:p>
        </w:tc>
        <w:tc>
          <w:tcPr>
            <w:tcW w:w="1170" w:type="dxa"/>
            <w:vAlign w:val="center"/>
          </w:tcPr>
          <w:p w14:paraId="66D570D3" w14:textId="77777777" w:rsidR="001658E4" w:rsidRPr="00776763" w:rsidRDefault="001658E4" w:rsidP="001658E4">
            <w:pPr>
              <w:spacing w:line="280" w:lineRule="atLeast"/>
            </w:pPr>
            <w:r w:rsidRPr="00776763">
              <w:t>(1.4%)</w:t>
            </w:r>
          </w:p>
        </w:tc>
        <w:tc>
          <w:tcPr>
            <w:tcW w:w="1170" w:type="dxa"/>
          </w:tcPr>
          <w:p w14:paraId="25562F76" w14:textId="77777777" w:rsidR="001658E4" w:rsidRPr="00776763" w:rsidRDefault="001658E4" w:rsidP="001658E4">
            <w:pPr>
              <w:spacing w:line="280" w:lineRule="atLeast"/>
            </w:pPr>
            <w:r w:rsidRPr="00776763">
              <w:t>-.7%</w:t>
            </w:r>
          </w:p>
        </w:tc>
      </w:tr>
      <w:tr w:rsidR="001658E4" w:rsidRPr="00902009" w14:paraId="7B4B6A96" w14:textId="77777777" w:rsidTr="001658E4">
        <w:trPr>
          <w:trHeight w:val="575"/>
        </w:trPr>
        <w:tc>
          <w:tcPr>
            <w:tcW w:w="2765" w:type="dxa"/>
            <w:gridSpan w:val="2"/>
            <w:shd w:val="clear" w:color="auto" w:fill="auto"/>
            <w:vAlign w:val="bottom"/>
          </w:tcPr>
          <w:p w14:paraId="7DF5D5A2" w14:textId="77777777" w:rsidR="001658E4" w:rsidRPr="00902009" w:rsidRDefault="001658E4" w:rsidP="00D666B5">
            <w:pPr>
              <w:spacing w:line="280" w:lineRule="atLeast"/>
              <w:ind w:left="252" w:right="162" w:hanging="180"/>
            </w:pPr>
            <w:r w:rsidRPr="00902009">
              <w:t>Finance, insurance, real estate and rental and leasing</w:t>
            </w:r>
          </w:p>
        </w:tc>
        <w:tc>
          <w:tcPr>
            <w:tcW w:w="939" w:type="dxa"/>
            <w:shd w:val="clear" w:color="auto" w:fill="auto"/>
            <w:vAlign w:val="center"/>
          </w:tcPr>
          <w:p w14:paraId="5B119911" w14:textId="77777777" w:rsidR="001658E4" w:rsidRPr="00902009" w:rsidRDefault="001658E4" w:rsidP="00D666B5">
            <w:pPr>
              <w:spacing w:line="280" w:lineRule="atLeast"/>
              <w:jc w:val="center"/>
            </w:pPr>
            <w:r w:rsidRPr="00902009">
              <w:t>145</w:t>
            </w:r>
          </w:p>
        </w:tc>
        <w:tc>
          <w:tcPr>
            <w:tcW w:w="1076" w:type="dxa"/>
            <w:shd w:val="clear" w:color="auto" w:fill="auto"/>
            <w:vAlign w:val="center"/>
          </w:tcPr>
          <w:p w14:paraId="4D2A0CB3" w14:textId="77777777" w:rsidR="001658E4" w:rsidRPr="00902009" w:rsidRDefault="001658E4" w:rsidP="00D666B5">
            <w:pPr>
              <w:spacing w:line="280" w:lineRule="atLeast"/>
              <w:jc w:val="center"/>
            </w:pPr>
            <w:r w:rsidRPr="00902009">
              <w:t>5.7%</w:t>
            </w:r>
          </w:p>
        </w:tc>
        <w:tc>
          <w:tcPr>
            <w:tcW w:w="993" w:type="dxa"/>
            <w:shd w:val="clear" w:color="auto" w:fill="auto"/>
            <w:vAlign w:val="center"/>
          </w:tcPr>
          <w:p w14:paraId="6135FB9A" w14:textId="77777777" w:rsidR="001658E4" w:rsidRPr="00902009" w:rsidRDefault="001658E4" w:rsidP="00D666B5">
            <w:pPr>
              <w:spacing w:line="280" w:lineRule="atLeast"/>
              <w:jc w:val="center"/>
            </w:pPr>
            <w:r w:rsidRPr="00902009">
              <w:t>83</w:t>
            </w:r>
          </w:p>
        </w:tc>
        <w:tc>
          <w:tcPr>
            <w:tcW w:w="1159" w:type="dxa"/>
            <w:shd w:val="clear" w:color="auto" w:fill="auto"/>
            <w:vAlign w:val="center"/>
          </w:tcPr>
          <w:p w14:paraId="6F023535" w14:textId="77777777" w:rsidR="001658E4" w:rsidRPr="00902009" w:rsidRDefault="001658E4" w:rsidP="00D666B5">
            <w:pPr>
              <w:spacing w:line="280" w:lineRule="atLeast"/>
              <w:jc w:val="center"/>
            </w:pPr>
            <w:r w:rsidRPr="00902009">
              <w:t>2.9%</w:t>
            </w:r>
          </w:p>
        </w:tc>
        <w:tc>
          <w:tcPr>
            <w:tcW w:w="1055" w:type="dxa"/>
          </w:tcPr>
          <w:p w14:paraId="42C03288" w14:textId="77777777" w:rsidR="001658E4" w:rsidRPr="00776763" w:rsidRDefault="001658E4" w:rsidP="001658E4">
            <w:pPr>
              <w:spacing w:line="280" w:lineRule="atLeast"/>
            </w:pPr>
            <w:r w:rsidRPr="00776763">
              <w:t>-2.8%</w:t>
            </w:r>
          </w:p>
        </w:tc>
        <w:tc>
          <w:tcPr>
            <w:tcW w:w="1055" w:type="dxa"/>
            <w:vAlign w:val="center"/>
          </w:tcPr>
          <w:p w14:paraId="625F640B" w14:textId="77777777" w:rsidR="001658E4" w:rsidRPr="00776763" w:rsidRDefault="001658E4" w:rsidP="001658E4">
            <w:pPr>
              <w:spacing w:line="280" w:lineRule="atLeast"/>
            </w:pPr>
            <w:r w:rsidRPr="00776763">
              <w:t>(805)</w:t>
            </w:r>
          </w:p>
        </w:tc>
        <w:tc>
          <w:tcPr>
            <w:tcW w:w="1170" w:type="dxa"/>
            <w:vAlign w:val="center"/>
          </w:tcPr>
          <w:p w14:paraId="008DF5A2" w14:textId="77777777" w:rsidR="001658E4" w:rsidRPr="00776763" w:rsidRDefault="001658E4" w:rsidP="001658E4">
            <w:pPr>
              <w:spacing w:line="280" w:lineRule="atLeast"/>
            </w:pPr>
            <w:r w:rsidRPr="00776763">
              <w:t>(11.4%)</w:t>
            </w:r>
          </w:p>
        </w:tc>
        <w:tc>
          <w:tcPr>
            <w:tcW w:w="1170" w:type="dxa"/>
          </w:tcPr>
          <w:p w14:paraId="6114F016" w14:textId="77777777" w:rsidR="001658E4" w:rsidRPr="00776763" w:rsidRDefault="001658E4" w:rsidP="001658E4">
            <w:pPr>
              <w:spacing w:line="360" w:lineRule="auto"/>
            </w:pPr>
            <w:r w:rsidRPr="00776763">
              <w:t>+8.5%</w:t>
            </w:r>
          </w:p>
        </w:tc>
      </w:tr>
      <w:tr w:rsidR="001658E4" w:rsidRPr="00902009" w14:paraId="3D6248B9" w14:textId="77777777" w:rsidTr="001658E4">
        <w:trPr>
          <w:trHeight w:val="791"/>
        </w:trPr>
        <w:tc>
          <w:tcPr>
            <w:tcW w:w="2765" w:type="dxa"/>
            <w:gridSpan w:val="2"/>
            <w:shd w:val="clear" w:color="auto" w:fill="auto"/>
            <w:vAlign w:val="bottom"/>
          </w:tcPr>
          <w:p w14:paraId="1744E5B2" w14:textId="77777777" w:rsidR="001658E4" w:rsidRPr="00902009" w:rsidRDefault="001658E4" w:rsidP="00D666B5">
            <w:pPr>
              <w:spacing w:line="280" w:lineRule="atLeast"/>
              <w:ind w:left="252" w:right="162" w:hanging="180"/>
            </w:pPr>
            <w:r w:rsidRPr="00902009">
              <w:t>Professional, scientific, management, administrative, and waste management services</w:t>
            </w:r>
          </w:p>
        </w:tc>
        <w:tc>
          <w:tcPr>
            <w:tcW w:w="939" w:type="dxa"/>
            <w:shd w:val="clear" w:color="auto" w:fill="auto"/>
            <w:vAlign w:val="center"/>
          </w:tcPr>
          <w:p w14:paraId="492C920A" w14:textId="77777777" w:rsidR="001658E4" w:rsidRPr="00902009" w:rsidRDefault="001658E4" w:rsidP="00D666B5">
            <w:pPr>
              <w:spacing w:line="280" w:lineRule="atLeast"/>
              <w:jc w:val="center"/>
            </w:pPr>
          </w:p>
          <w:p w14:paraId="4DEB6233" w14:textId="77777777" w:rsidR="001658E4" w:rsidRPr="00902009" w:rsidRDefault="001658E4" w:rsidP="00D666B5">
            <w:pPr>
              <w:spacing w:line="280" w:lineRule="atLeast"/>
              <w:jc w:val="center"/>
            </w:pPr>
            <w:r w:rsidRPr="00902009">
              <w:t>140</w:t>
            </w:r>
          </w:p>
        </w:tc>
        <w:tc>
          <w:tcPr>
            <w:tcW w:w="1076" w:type="dxa"/>
            <w:shd w:val="clear" w:color="auto" w:fill="auto"/>
            <w:vAlign w:val="center"/>
          </w:tcPr>
          <w:p w14:paraId="5A230CD3" w14:textId="77777777" w:rsidR="001658E4" w:rsidRPr="00902009" w:rsidRDefault="001658E4" w:rsidP="00D666B5">
            <w:pPr>
              <w:spacing w:line="280" w:lineRule="atLeast"/>
              <w:jc w:val="center"/>
            </w:pPr>
          </w:p>
          <w:p w14:paraId="0DAFF3BD" w14:textId="77777777" w:rsidR="001658E4" w:rsidRPr="00902009" w:rsidRDefault="001658E4" w:rsidP="00D666B5">
            <w:pPr>
              <w:spacing w:line="280" w:lineRule="atLeast"/>
              <w:jc w:val="center"/>
            </w:pPr>
            <w:r w:rsidRPr="00902009">
              <w:t>5.5%</w:t>
            </w:r>
          </w:p>
        </w:tc>
        <w:tc>
          <w:tcPr>
            <w:tcW w:w="993" w:type="dxa"/>
            <w:shd w:val="clear" w:color="auto" w:fill="auto"/>
            <w:vAlign w:val="center"/>
          </w:tcPr>
          <w:p w14:paraId="32266184" w14:textId="77777777" w:rsidR="001658E4" w:rsidRPr="00902009" w:rsidRDefault="001658E4" w:rsidP="00D666B5">
            <w:pPr>
              <w:spacing w:line="280" w:lineRule="atLeast"/>
              <w:jc w:val="center"/>
            </w:pPr>
          </w:p>
          <w:p w14:paraId="0577E637" w14:textId="77777777" w:rsidR="001658E4" w:rsidRPr="00902009" w:rsidRDefault="001658E4" w:rsidP="00D666B5">
            <w:pPr>
              <w:spacing w:line="280" w:lineRule="atLeast"/>
              <w:jc w:val="center"/>
            </w:pPr>
            <w:r w:rsidRPr="00902009">
              <w:t>169</w:t>
            </w:r>
          </w:p>
        </w:tc>
        <w:tc>
          <w:tcPr>
            <w:tcW w:w="1159" w:type="dxa"/>
            <w:shd w:val="clear" w:color="auto" w:fill="auto"/>
            <w:vAlign w:val="center"/>
          </w:tcPr>
          <w:p w14:paraId="63C7769D" w14:textId="77777777" w:rsidR="001658E4" w:rsidRPr="00902009" w:rsidRDefault="001658E4" w:rsidP="00D666B5">
            <w:pPr>
              <w:spacing w:line="280" w:lineRule="atLeast"/>
              <w:jc w:val="center"/>
            </w:pPr>
          </w:p>
          <w:p w14:paraId="761E4C6F" w14:textId="77777777" w:rsidR="001658E4" w:rsidRPr="00902009" w:rsidRDefault="001658E4" w:rsidP="00D666B5">
            <w:pPr>
              <w:spacing w:line="280" w:lineRule="atLeast"/>
              <w:jc w:val="center"/>
            </w:pPr>
            <w:r w:rsidRPr="00902009">
              <w:t>5.6%</w:t>
            </w:r>
          </w:p>
        </w:tc>
        <w:tc>
          <w:tcPr>
            <w:tcW w:w="1055" w:type="dxa"/>
          </w:tcPr>
          <w:p w14:paraId="036731A5" w14:textId="77777777" w:rsidR="001658E4" w:rsidRPr="00776763" w:rsidRDefault="001658E4" w:rsidP="001658E4">
            <w:pPr>
              <w:spacing w:line="280" w:lineRule="atLeast"/>
            </w:pPr>
            <w:r w:rsidRPr="00776763">
              <w:t>+.1%</w:t>
            </w:r>
          </w:p>
        </w:tc>
        <w:tc>
          <w:tcPr>
            <w:tcW w:w="1055" w:type="dxa"/>
            <w:vAlign w:val="center"/>
          </w:tcPr>
          <w:p w14:paraId="28E82909" w14:textId="77777777" w:rsidR="001658E4" w:rsidRPr="00776763" w:rsidRDefault="001658E4" w:rsidP="001658E4">
            <w:pPr>
              <w:spacing w:line="280" w:lineRule="atLeast"/>
            </w:pPr>
            <w:r w:rsidRPr="00776763">
              <w:t>(617)</w:t>
            </w:r>
          </w:p>
        </w:tc>
        <w:tc>
          <w:tcPr>
            <w:tcW w:w="1170" w:type="dxa"/>
            <w:vAlign w:val="center"/>
          </w:tcPr>
          <w:p w14:paraId="6D7B0A8B" w14:textId="77777777" w:rsidR="001658E4" w:rsidRPr="00776763" w:rsidRDefault="001658E4" w:rsidP="001658E4">
            <w:pPr>
              <w:spacing w:line="280" w:lineRule="atLeast"/>
            </w:pPr>
            <w:r w:rsidRPr="00776763">
              <w:t>(8.7%)</w:t>
            </w:r>
          </w:p>
        </w:tc>
        <w:tc>
          <w:tcPr>
            <w:tcW w:w="1170" w:type="dxa"/>
          </w:tcPr>
          <w:p w14:paraId="24507341" w14:textId="77777777" w:rsidR="001658E4" w:rsidRPr="00776763" w:rsidRDefault="001658E4" w:rsidP="001658E4">
            <w:pPr>
              <w:spacing w:line="280" w:lineRule="atLeast"/>
            </w:pPr>
            <w:r w:rsidRPr="00776763">
              <w:t>+3.1%</w:t>
            </w:r>
          </w:p>
        </w:tc>
      </w:tr>
      <w:tr w:rsidR="001658E4" w:rsidRPr="00902009" w14:paraId="76F90875" w14:textId="77777777" w:rsidTr="001658E4">
        <w:trPr>
          <w:trHeight w:val="346"/>
        </w:trPr>
        <w:tc>
          <w:tcPr>
            <w:tcW w:w="2765" w:type="dxa"/>
            <w:gridSpan w:val="2"/>
            <w:shd w:val="clear" w:color="auto" w:fill="auto"/>
            <w:vAlign w:val="bottom"/>
          </w:tcPr>
          <w:p w14:paraId="7E8CBF50" w14:textId="77777777" w:rsidR="001658E4" w:rsidRPr="00902009" w:rsidRDefault="001658E4" w:rsidP="00D666B5">
            <w:pPr>
              <w:spacing w:line="280" w:lineRule="atLeast"/>
              <w:ind w:left="252" w:right="162" w:hanging="180"/>
            </w:pPr>
            <w:r w:rsidRPr="00902009">
              <w:t>Educational, health and social services</w:t>
            </w:r>
          </w:p>
        </w:tc>
        <w:tc>
          <w:tcPr>
            <w:tcW w:w="939" w:type="dxa"/>
            <w:shd w:val="clear" w:color="auto" w:fill="auto"/>
            <w:vAlign w:val="center"/>
          </w:tcPr>
          <w:p w14:paraId="789465A8" w14:textId="77777777" w:rsidR="001658E4" w:rsidRPr="00902009" w:rsidRDefault="001658E4" w:rsidP="00D666B5">
            <w:pPr>
              <w:spacing w:line="280" w:lineRule="atLeast"/>
              <w:jc w:val="center"/>
            </w:pPr>
            <w:r w:rsidRPr="00902009">
              <w:t>263</w:t>
            </w:r>
          </w:p>
        </w:tc>
        <w:tc>
          <w:tcPr>
            <w:tcW w:w="1076" w:type="dxa"/>
            <w:shd w:val="clear" w:color="auto" w:fill="auto"/>
            <w:vAlign w:val="center"/>
          </w:tcPr>
          <w:p w14:paraId="700CD923" w14:textId="77777777" w:rsidR="001658E4" w:rsidRPr="00902009" w:rsidRDefault="001658E4" w:rsidP="00D666B5">
            <w:pPr>
              <w:spacing w:line="280" w:lineRule="atLeast"/>
              <w:jc w:val="center"/>
            </w:pPr>
            <w:r w:rsidRPr="00902009">
              <w:t>10.3%</w:t>
            </w:r>
          </w:p>
        </w:tc>
        <w:tc>
          <w:tcPr>
            <w:tcW w:w="993" w:type="dxa"/>
            <w:shd w:val="clear" w:color="auto" w:fill="auto"/>
            <w:vAlign w:val="center"/>
          </w:tcPr>
          <w:p w14:paraId="37F2FE57" w14:textId="77777777" w:rsidR="001658E4" w:rsidRPr="00902009" w:rsidRDefault="001658E4" w:rsidP="00D666B5">
            <w:pPr>
              <w:spacing w:line="280" w:lineRule="atLeast"/>
              <w:jc w:val="center"/>
            </w:pPr>
            <w:r w:rsidRPr="00902009">
              <w:t>545</w:t>
            </w:r>
          </w:p>
        </w:tc>
        <w:tc>
          <w:tcPr>
            <w:tcW w:w="1159" w:type="dxa"/>
            <w:shd w:val="clear" w:color="auto" w:fill="auto"/>
            <w:vAlign w:val="center"/>
          </w:tcPr>
          <w:p w14:paraId="0014155E" w14:textId="77777777" w:rsidR="001658E4" w:rsidRPr="00902009" w:rsidRDefault="001658E4" w:rsidP="00D666B5">
            <w:pPr>
              <w:spacing w:line="280" w:lineRule="atLeast"/>
              <w:jc w:val="center"/>
            </w:pPr>
            <w:r w:rsidRPr="00902009">
              <w:t>19.1%</w:t>
            </w:r>
          </w:p>
        </w:tc>
        <w:tc>
          <w:tcPr>
            <w:tcW w:w="1055" w:type="dxa"/>
          </w:tcPr>
          <w:p w14:paraId="1D846EBF" w14:textId="77777777" w:rsidR="001658E4" w:rsidRPr="00776763" w:rsidRDefault="001658E4" w:rsidP="001658E4">
            <w:pPr>
              <w:spacing w:line="280" w:lineRule="atLeast"/>
            </w:pPr>
            <w:r w:rsidRPr="00776763">
              <w:t>+8.8%</w:t>
            </w:r>
          </w:p>
        </w:tc>
        <w:tc>
          <w:tcPr>
            <w:tcW w:w="1055" w:type="dxa"/>
            <w:vAlign w:val="center"/>
          </w:tcPr>
          <w:p w14:paraId="7C9966AF" w14:textId="77777777" w:rsidR="001658E4" w:rsidRPr="00776763" w:rsidRDefault="001658E4" w:rsidP="001658E4">
            <w:pPr>
              <w:spacing w:line="280" w:lineRule="atLeast"/>
            </w:pPr>
            <w:r w:rsidRPr="00776763">
              <w:t>(988)</w:t>
            </w:r>
          </w:p>
        </w:tc>
        <w:tc>
          <w:tcPr>
            <w:tcW w:w="1170" w:type="dxa"/>
            <w:vAlign w:val="center"/>
          </w:tcPr>
          <w:p w14:paraId="24053220" w14:textId="77777777" w:rsidR="001658E4" w:rsidRPr="00776763" w:rsidRDefault="001658E4" w:rsidP="001658E4">
            <w:pPr>
              <w:spacing w:line="280" w:lineRule="atLeast"/>
            </w:pPr>
            <w:r w:rsidRPr="00776763">
              <w:t>(13.9%)</w:t>
            </w:r>
          </w:p>
        </w:tc>
        <w:tc>
          <w:tcPr>
            <w:tcW w:w="1170" w:type="dxa"/>
          </w:tcPr>
          <w:p w14:paraId="7660B47D" w14:textId="77777777" w:rsidR="001658E4" w:rsidRPr="00776763" w:rsidRDefault="001658E4" w:rsidP="001658E4">
            <w:pPr>
              <w:spacing w:line="280" w:lineRule="atLeast"/>
            </w:pPr>
            <w:r w:rsidRPr="00776763">
              <w:t>-5.2%</w:t>
            </w:r>
          </w:p>
        </w:tc>
      </w:tr>
      <w:tr w:rsidR="001658E4" w:rsidRPr="00902009" w14:paraId="73773C3A" w14:textId="77777777" w:rsidTr="001658E4">
        <w:trPr>
          <w:trHeight w:val="695"/>
        </w:trPr>
        <w:tc>
          <w:tcPr>
            <w:tcW w:w="2765" w:type="dxa"/>
            <w:gridSpan w:val="2"/>
            <w:shd w:val="clear" w:color="auto" w:fill="auto"/>
            <w:vAlign w:val="bottom"/>
          </w:tcPr>
          <w:p w14:paraId="4AC663D1" w14:textId="77777777" w:rsidR="001658E4" w:rsidRPr="00902009" w:rsidRDefault="001658E4" w:rsidP="00D666B5">
            <w:pPr>
              <w:spacing w:line="280" w:lineRule="atLeast"/>
              <w:ind w:left="252" w:right="162" w:hanging="180"/>
            </w:pPr>
            <w:r w:rsidRPr="00902009">
              <w:t>Arts, entertainment, recreation, accommodation and food services</w:t>
            </w:r>
          </w:p>
        </w:tc>
        <w:tc>
          <w:tcPr>
            <w:tcW w:w="939" w:type="dxa"/>
            <w:shd w:val="clear" w:color="auto" w:fill="auto"/>
            <w:vAlign w:val="center"/>
          </w:tcPr>
          <w:p w14:paraId="37F037BF" w14:textId="77777777" w:rsidR="001658E4" w:rsidRPr="00902009" w:rsidRDefault="001658E4" w:rsidP="00D666B5">
            <w:pPr>
              <w:spacing w:line="280" w:lineRule="atLeast"/>
              <w:jc w:val="center"/>
            </w:pPr>
          </w:p>
          <w:p w14:paraId="159766AB" w14:textId="77777777" w:rsidR="001658E4" w:rsidRPr="00902009" w:rsidRDefault="001658E4" w:rsidP="00D666B5">
            <w:pPr>
              <w:spacing w:line="280" w:lineRule="atLeast"/>
              <w:jc w:val="center"/>
            </w:pPr>
            <w:r w:rsidRPr="00902009">
              <w:t>393</w:t>
            </w:r>
          </w:p>
        </w:tc>
        <w:tc>
          <w:tcPr>
            <w:tcW w:w="1076" w:type="dxa"/>
            <w:shd w:val="clear" w:color="auto" w:fill="auto"/>
            <w:vAlign w:val="center"/>
          </w:tcPr>
          <w:p w14:paraId="6C4A5E26" w14:textId="77777777" w:rsidR="001658E4" w:rsidRPr="00902009" w:rsidRDefault="001658E4" w:rsidP="00D666B5">
            <w:pPr>
              <w:spacing w:line="280" w:lineRule="atLeast"/>
              <w:jc w:val="center"/>
            </w:pPr>
          </w:p>
          <w:p w14:paraId="7C0AC233" w14:textId="77777777" w:rsidR="001658E4" w:rsidRPr="00902009" w:rsidRDefault="001658E4" w:rsidP="00D666B5">
            <w:pPr>
              <w:spacing w:line="280" w:lineRule="atLeast"/>
              <w:jc w:val="center"/>
            </w:pPr>
            <w:r w:rsidRPr="00902009">
              <w:t>15.5%</w:t>
            </w:r>
          </w:p>
        </w:tc>
        <w:tc>
          <w:tcPr>
            <w:tcW w:w="993" w:type="dxa"/>
            <w:shd w:val="clear" w:color="auto" w:fill="auto"/>
            <w:vAlign w:val="center"/>
          </w:tcPr>
          <w:p w14:paraId="43C91C08" w14:textId="77777777" w:rsidR="001658E4" w:rsidRPr="00902009" w:rsidRDefault="001658E4" w:rsidP="00D666B5">
            <w:pPr>
              <w:spacing w:line="280" w:lineRule="atLeast"/>
              <w:jc w:val="center"/>
            </w:pPr>
          </w:p>
          <w:p w14:paraId="15454257" w14:textId="77777777" w:rsidR="001658E4" w:rsidRPr="00902009" w:rsidRDefault="001658E4" w:rsidP="00D666B5">
            <w:pPr>
              <w:spacing w:line="280" w:lineRule="atLeast"/>
              <w:jc w:val="center"/>
            </w:pPr>
            <w:r w:rsidRPr="00902009">
              <w:t>549</w:t>
            </w:r>
          </w:p>
        </w:tc>
        <w:tc>
          <w:tcPr>
            <w:tcW w:w="1159" w:type="dxa"/>
            <w:shd w:val="clear" w:color="auto" w:fill="auto"/>
            <w:vAlign w:val="center"/>
          </w:tcPr>
          <w:p w14:paraId="1D0EB882" w14:textId="77777777" w:rsidR="001658E4" w:rsidRPr="00902009" w:rsidRDefault="001658E4" w:rsidP="00D666B5">
            <w:pPr>
              <w:spacing w:line="280" w:lineRule="atLeast"/>
              <w:jc w:val="center"/>
            </w:pPr>
          </w:p>
          <w:p w14:paraId="58C90FD8" w14:textId="77777777" w:rsidR="001658E4" w:rsidRPr="00902009" w:rsidRDefault="001658E4" w:rsidP="00D666B5">
            <w:pPr>
              <w:spacing w:line="280" w:lineRule="atLeast"/>
              <w:jc w:val="center"/>
            </w:pPr>
            <w:r w:rsidRPr="00902009">
              <w:t>19.3%</w:t>
            </w:r>
          </w:p>
        </w:tc>
        <w:tc>
          <w:tcPr>
            <w:tcW w:w="1055" w:type="dxa"/>
          </w:tcPr>
          <w:p w14:paraId="3471A949" w14:textId="77777777" w:rsidR="001658E4" w:rsidRPr="00776763" w:rsidRDefault="001658E4" w:rsidP="001658E4">
            <w:pPr>
              <w:spacing w:line="280" w:lineRule="atLeast"/>
            </w:pPr>
            <w:r w:rsidRPr="00776763">
              <w:t>+4.8%</w:t>
            </w:r>
          </w:p>
        </w:tc>
        <w:tc>
          <w:tcPr>
            <w:tcW w:w="1055" w:type="dxa"/>
            <w:vAlign w:val="center"/>
          </w:tcPr>
          <w:p w14:paraId="07782ADE" w14:textId="77777777" w:rsidR="001658E4" w:rsidRPr="00776763" w:rsidRDefault="001658E4" w:rsidP="001658E4">
            <w:pPr>
              <w:spacing w:line="280" w:lineRule="atLeast"/>
            </w:pPr>
            <w:r w:rsidRPr="00776763">
              <w:t>(2,043)</w:t>
            </w:r>
          </w:p>
        </w:tc>
        <w:tc>
          <w:tcPr>
            <w:tcW w:w="1170" w:type="dxa"/>
            <w:vAlign w:val="center"/>
          </w:tcPr>
          <w:p w14:paraId="281135DB" w14:textId="77777777" w:rsidR="001658E4" w:rsidRPr="00776763" w:rsidRDefault="001658E4" w:rsidP="001658E4">
            <w:pPr>
              <w:spacing w:line="280" w:lineRule="atLeast"/>
            </w:pPr>
            <w:r w:rsidRPr="00776763">
              <w:t>(28.8%)</w:t>
            </w:r>
          </w:p>
        </w:tc>
        <w:tc>
          <w:tcPr>
            <w:tcW w:w="1170" w:type="dxa"/>
          </w:tcPr>
          <w:p w14:paraId="374BD6AB" w14:textId="77777777" w:rsidR="001658E4" w:rsidRPr="00776763" w:rsidRDefault="001658E4" w:rsidP="001658E4">
            <w:pPr>
              <w:spacing w:line="280" w:lineRule="atLeast"/>
            </w:pPr>
            <w:r w:rsidRPr="00776763">
              <w:t>+9.5%</w:t>
            </w:r>
          </w:p>
        </w:tc>
      </w:tr>
      <w:tr w:rsidR="001658E4" w:rsidRPr="00902009" w14:paraId="4CD587D4" w14:textId="77777777" w:rsidTr="001658E4">
        <w:trPr>
          <w:trHeight w:val="346"/>
        </w:trPr>
        <w:tc>
          <w:tcPr>
            <w:tcW w:w="2765" w:type="dxa"/>
            <w:gridSpan w:val="2"/>
            <w:shd w:val="clear" w:color="auto" w:fill="auto"/>
            <w:vAlign w:val="bottom"/>
          </w:tcPr>
          <w:p w14:paraId="404E82AB" w14:textId="77777777" w:rsidR="001658E4" w:rsidRPr="00902009" w:rsidRDefault="001658E4" w:rsidP="00D666B5">
            <w:pPr>
              <w:spacing w:line="280" w:lineRule="atLeast"/>
              <w:ind w:left="252" w:right="162" w:hanging="180"/>
            </w:pPr>
            <w:r w:rsidRPr="00902009">
              <w:t xml:space="preserve">Other services </w:t>
            </w:r>
          </w:p>
        </w:tc>
        <w:tc>
          <w:tcPr>
            <w:tcW w:w="939" w:type="dxa"/>
            <w:shd w:val="clear" w:color="auto" w:fill="auto"/>
            <w:vAlign w:val="center"/>
          </w:tcPr>
          <w:p w14:paraId="1EF7AEDE" w14:textId="77777777" w:rsidR="001658E4" w:rsidRPr="00902009" w:rsidRDefault="001658E4" w:rsidP="00D666B5">
            <w:pPr>
              <w:spacing w:line="280" w:lineRule="atLeast"/>
              <w:jc w:val="center"/>
            </w:pPr>
            <w:r w:rsidRPr="00902009">
              <w:t>84</w:t>
            </w:r>
          </w:p>
        </w:tc>
        <w:tc>
          <w:tcPr>
            <w:tcW w:w="1076" w:type="dxa"/>
            <w:shd w:val="clear" w:color="auto" w:fill="auto"/>
            <w:vAlign w:val="center"/>
          </w:tcPr>
          <w:p w14:paraId="1EFC3ED6" w14:textId="77777777" w:rsidR="001658E4" w:rsidRPr="00902009" w:rsidRDefault="001658E4" w:rsidP="00D666B5">
            <w:pPr>
              <w:spacing w:line="280" w:lineRule="atLeast"/>
              <w:jc w:val="center"/>
            </w:pPr>
            <w:r w:rsidRPr="00902009">
              <w:t>3.3%</w:t>
            </w:r>
          </w:p>
        </w:tc>
        <w:tc>
          <w:tcPr>
            <w:tcW w:w="993" w:type="dxa"/>
            <w:shd w:val="clear" w:color="auto" w:fill="auto"/>
            <w:vAlign w:val="center"/>
          </w:tcPr>
          <w:p w14:paraId="4E035675" w14:textId="77777777" w:rsidR="001658E4" w:rsidRPr="00902009" w:rsidRDefault="001658E4" w:rsidP="00D666B5">
            <w:pPr>
              <w:spacing w:line="280" w:lineRule="atLeast"/>
              <w:jc w:val="center"/>
            </w:pPr>
            <w:r w:rsidRPr="00902009">
              <w:t>75</w:t>
            </w:r>
          </w:p>
        </w:tc>
        <w:tc>
          <w:tcPr>
            <w:tcW w:w="1159" w:type="dxa"/>
            <w:shd w:val="clear" w:color="auto" w:fill="auto"/>
            <w:vAlign w:val="center"/>
          </w:tcPr>
          <w:p w14:paraId="7118A19D" w14:textId="77777777" w:rsidR="001658E4" w:rsidRPr="00902009" w:rsidRDefault="001658E4" w:rsidP="00D666B5">
            <w:pPr>
              <w:spacing w:line="280" w:lineRule="atLeast"/>
              <w:jc w:val="center"/>
            </w:pPr>
            <w:r w:rsidRPr="00902009">
              <w:t>2.6%</w:t>
            </w:r>
          </w:p>
        </w:tc>
        <w:tc>
          <w:tcPr>
            <w:tcW w:w="1055" w:type="dxa"/>
          </w:tcPr>
          <w:p w14:paraId="58FCFF71" w14:textId="77777777" w:rsidR="001658E4" w:rsidRPr="00776763" w:rsidRDefault="001658E4" w:rsidP="001658E4">
            <w:pPr>
              <w:spacing w:line="280" w:lineRule="atLeast"/>
            </w:pPr>
            <w:r w:rsidRPr="00776763">
              <w:t>-.7%</w:t>
            </w:r>
          </w:p>
        </w:tc>
        <w:tc>
          <w:tcPr>
            <w:tcW w:w="1055" w:type="dxa"/>
            <w:vAlign w:val="center"/>
          </w:tcPr>
          <w:p w14:paraId="7CE0722E" w14:textId="77777777" w:rsidR="001658E4" w:rsidRPr="00776763" w:rsidRDefault="001658E4" w:rsidP="001658E4">
            <w:pPr>
              <w:spacing w:line="280" w:lineRule="atLeast"/>
            </w:pPr>
            <w:r w:rsidRPr="00776763">
              <w:t>(237)</w:t>
            </w:r>
          </w:p>
        </w:tc>
        <w:tc>
          <w:tcPr>
            <w:tcW w:w="1170" w:type="dxa"/>
            <w:vAlign w:val="center"/>
          </w:tcPr>
          <w:p w14:paraId="498950A3" w14:textId="77777777" w:rsidR="001658E4" w:rsidRPr="00776763" w:rsidRDefault="001658E4" w:rsidP="001658E4">
            <w:pPr>
              <w:spacing w:line="280" w:lineRule="atLeast"/>
            </w:pPr>
            <w:r w:rsidRPr="00776763">
              <w:t>(4.7%)</w:t>
            </w:r>
          </w:p>
        </w:tc>
        <w:tc>
          <w:tcPr>
            <w:tcW w:w="1170" w:type="dxa"/>
          </w:tcPr>
          <w:p w14:paraId="33E755DB" w14:textId="77777777" w:rsidR="001658E4" w:rsidRPr="00776763" w:rsidRDefault="001658E4" w:rsidP="001658E4">
            <w:pPr>
              <w:spacing w:line="280" w:lineRule="atLeast"/>
            </w:pPr>
            <w:r w:rsidRPr="00776763">
              <w:t>+2.1%</w:t>
            </w:r>
          </w:p>
        </w:tc>
      </w:tr>
      <w:tr w:rsidR="001658E4" w:rsidRPr="00902009" w14:paraId="7C6E6C51" w14:textId="77777777" w:rsidTr="001658E4">
        <w:trPr>
          <w:trHeight w:val="346"/>
        </w:trPr>
        <w:tc>
          <w:tcPr>
            <w:tcW w:w="2765" w:type="dxa"/>
            <w:gridSpan w:val="2"/>
            <w:shd w:val="clear" w:color="auto" w:fill="auto"/>
            <w:vAlign w:val="bottom"/>
          </w:tcPr>
          <w:p w14:paraId="36C89E9E" w14:textId="77777777" w:rsidR="001658E4" w:rsidRPr="00902009" w:rsidRDefault="001658E4" w:rsidP="00D666B5">
            <w:pPr>
              <w:spacing w:line="280" w:lineRule="atLeast"/>
              <w:ind w:left="252" w:right="162" w:hanging="180"/>
            </w:pPr>
            <w:r w:rsidRPr="00902009">
              <w:t>Public administration</w:t>
            </w:r>
          </w:p>
        </w:tc>
        <w:tc>
          <w:tcPr>
            <w:tcW w:w="939" w:type="dxa"/>
            <w:shd w:val="clear" w:color="auto" w:fill="auto"/>
            <w:vAlign w:val="center"/>
          </w:tcPr>
          <w:p w14:paraId="4979DBA1" w14:textId="77777777" w:rsidR="001658E4" w:rsidRPr="00902009" w:rsidRDefault="001658E4" w:rsidP="00D666B5">
            <w:pPr>
              <w:spacing w:line="280" w:lineRule="atLeast"/>
              <w:jc w:val="center"/>
            </w:pPr>
            <w:r w:rsidRPr="00902009">
              <w:t>258</w:t>
            </w:r>
          </w:p>
        </w:tc>
        <w:tc>
          <w:tcPr>
            <w:tcW w:w="1076" w:type="dxa"/>
            <w:shd w:val="clear" w:color="auto" w:fill="auto"/>
            <w:vAlign w:val="center"/>
          </w:tcPr>
          <w:p w14:paraId="62EB8D39" w14:textId="77777777" w:rsidR="001658E4" w:rsidRPr="00902009" w:rsidRDefault="001658E4" w:rsidP="00D666B5">
            <w:pPr>
              <w:spacing w:line="280" w:lineRule="atLeast"/>
              <w:jc w:val="center"/>
            </w:pPr>
            <w:r w:rsidRPr="00902009">
              <w:t>10.1%</w:t>
            </w:r>
          </w:p>
        </w:tc>
        <w:tc>
          <w:tcPr>
            <w:tcW w:w="993" w:type="dxa"/>
            <w:shd w:val="clear" w:color="auto" w:fill="auto"/>
            <w:vAlign w:val="center"/>
          </w:tcPr>
          <w:p w14:paraId="0195A677" w14:textId="77777777" w:rsidR="001658E4" w:rsidRPr="00902009" w:rsidRDefault="001658E4" w:rsidP="00D666B5">
            <w:pPr>
              <w:spacing w:line="280" w:lineRule="atLeast"/>
              <w:jc w:val="center"/>
            </w:pPr>
            <w:r w:rsidRPr="00902009">
              <w:t>246</w:t>
            </w:r>
          </w:p>
        </w:tc>
        <w:tc>
          <w:tcPr>
            <w:tcW w:w="1159" w:type="dxa"/>
            <w:shd w:val="clear" w:color="auto" w:fill="auto"/>
            <w:vAlign w:val="center"/>
          </w:tcPr>
          <w:p w14:paraId="651FE624" w14:textId="77777777" w:rsidR="001658E4" w:rsidRPr="00902009" w:rsidRDefault="001658E4" w:rsidP="00D666B5">
            <w:pPr>
              <w:spacing w:line="280" w:lineRule="atLeast"/>
              <w:jc w:val="center"/>
            </w:pPr>
            <w:r w:rsidRPr="00902009">
              <w:t>8.7%</w:t>
            </w:r>
          </w:p>
        </w:tc>
        <w:tc>
          <w:tcPr>
            <w:tcW w:w="1055" w:type="dxa"/>
          </w:tcPr>
          <w:p w14:paraId="13CCD4CA" w14:textId="77777777" w:rsidR="001658E4" w:rsidRPr="00776763" w:rsidRDefault="001658E4" w:rsidP="00504894">
            <w:pPr>
              <w:spacing w:line="280" w:lineRule="atLeast"/>
            </w:pPr>
            <w:r w:rsidRPr="00776763">
              <w:t>-</w:t>
            </w:r>
            <w:r w:rsidR="00504894" w:rsidRPr="00776763">
              <w:t>1.4%</w:t>
            </w:r>
          </w:p>
        </w:tc>
        <w:tc>
          <w:tcPr>
            <w:tcW w:w="1055" w:type="dxa"/>
            <w:vAlign w:val="center"/>
          </w:tcPr>
          <w:p w14:paraId="340C02EE" w14:textId="77777777" w:rsidR="001658E4" w:rsidRPr="00776763" w:rsidRDefault="001658E4" w:rsidP="001658E4">
            <w:pPr>
              <w:spacing w:line="280" w:lineRule="atLeast"/>
            </w:pPr>
            <w:r w:rsidRPr="00776763">
              <w:t>(336)</w:t>
            </w:r>
          </w:p>
        </w:tc>
        <w:tc>
          <w:tcPr>
            <w:tcW w:w="1170" w:type="dxa"/>
            <w:vAlign w:val="center"/>
          </w:tcPr>
          <w:p w14:paraId="4BD92B1E" w14:textId="77777777" w:rsidR="001658E4" w:rsidRPr="00776763" w:rsidRDefault="001658E4" w:rsidP="001658E4">
            <w:pPr>
              <w:spacing w:line="280" w:lineRule="atLeast"/>
            </w:pPr>
            <w:r w:rsidRPr="00776763">
              <w:t>(3.3%)</w:t>
            </w:r>
          </w:p>
        </w:tc>
        <w:tc>
          <w:tcPr>
            <w:tcW w:w="1170" w:type="dxa"/>
          </w:tcPr>
          <w:p w14:paraId="655802C0" w14:textId="77777777" w:rsidR="001658E4" w:rsidRPr="00776763" w:rsidRDefault="00504894" w:rsidP="001658E4">
            <w:pPr>
              <w:spacing w:line="280" w:lineRule="atLeast"/>
            </w:pPr>
            <w:r w:rsidRPr="00776763">
              <w:t>-5.4%</w:t>
            </w:r>
          </w:p>
        </w:tc>
      </w:tr>
      <w:tr w:rsidR="001658E4" w:rsidRPr="00902009" w14:paraId="05E9AA7D" w14:textId="77777777" w:rsidTr="001658E4">
        <w:trPr>
          <w:trHeight w:val="346"/>
        </w:trPr>
        <w:tc>
          <w:tcPr>
            <w:tcW w:w="2765" w:type="dxa"/>
            <w:gridSpan w:val="2"/>
            <w:shd w:val="clear" w:color="auto" w:fill="auto"/>
            <w:vAlign w:val="bottom"/>
          </w:tcPr>
          <w:p w14:paraId="333E6732" w14:textId="77777777" w:rsidR="001658E4" w:rsidRPr="00902009" w:rsidRDefault="001658E4" w:rsidP="00D666B5">
            <w:pPr>
              <w:spacing w:line="280" w:lineRule="atLeast"/>
              <w:ind w:left="252" w:right="162" w:hanging="180"/>
            </w:pPr>
            <w:r w:rsidRPr="00902009">
              <w:t>TOTAL</w:t>
            </w:r>
          </w:p>
        </w:tc>
        <w:tc>
          <w:tcPr>
            <w:tcW w:w="939" w:type="dxa"/>
            <w:shd w:val="clear" w:color="auto" w:fill="auto"/>
            <w:vAlign w:val="center"/>
          </w:tcPr>
          <w:p w14:paraId="7C09C818" w14:textId="77777777" w:rsidR="001658E4" w:rsidRPr="00902009" w:rsidRDefault="001658E4" w:rsidP="00D666B5">
            <w:pPr>
              <w:spacing w:line="280" w:lineRule="atLeast"/>
              <w:jc w:val="center"/>
            </w:pPr>
            <w:r w:rsidRPr="00902009">
              <w:t>2,542</w:t>
            </w:r>
          </w:p>
        </w:tc>
        <w:tc>
          <w:tcPr>
            <w:tcW w:w="1076" w:type="dxa"/>
            <w:shd w:val="clear" w:color="auto" w:fill="auto"/>
            <w:vAlign w:val="center"/>
          </w:tcPr>
          <w:p w14:paraId="1E4E463E" w14:textId="77777777" w:rsidR="001658E4" w:rsidRPr="00902009" w:rsidRDefault="001658E4" w:rsidP="00D666B5">
            <w:pPr>
              <w:spacing w:line="280" w:lineRule="atLeast"/>
              <w:jc w:val="center"/>
            </w:pPr>
            <w:r w:rsidRPr="00902009">
              <w:t>100%</w:t>
            </w:r>
          </w:p>
        </w:tc>
        <w:tc>
          <w:tcPr>
            <w:tcW w:w="993" w:type="dxa"/>
            <w:shd w:val="clear" w:color="auto" w:fill="auto"/>
            <w:vAlign w:val="center"/>
          </w:tcPr>
          <w:p w14:paraId="3BE98660" w14:textId="77777777" w:rsidR="001658E4" w:rsidRPr="00902009" w:rsidRDefault="001658E4" w:rsidP="00D666B5">
            <w:pPr>
              <w:spacing w:line="280" w:lineRule="atLeast"/>
              <w:jc w:val="center"/>
            </w:pPr>
            <w:r w:rsidRPr="00902009">
              <w:t>2,840</w:t>
            </w:r>
          </w:p>
        </w:tc>
        <w:tc>
          <w:tcPr>
            <w:tcW w:w="1159" w:type="dxa"/>
            <w:shd w:val="clear" w:color="auto" w:fill="auto"/>
            <w:vAlign w:val="center"/>
          </w:tcPr>
          <w:p w14:paraId="08D4E027" w14:textId="77777777" w:rsidR="001658E4" w:rsidRPr="00902009" w:rsidRDefault="001658E4" w:rsidP="00D666B5">
            <w:pPr>
              <w:spacing w:line="280" w:lineRule="atLeast"/>
              <w:jc w:val="center"/>
            </w:pPr>
            <w:r w:rsidRPr="00902009">
              <w:t>100%</w:t>
            </w:r>
          </w:p>
        </w:tc>
        <w:tc>
          <w:tcPr>
            <w:tcW w:w="1055" w:type="dxa"/>
          </w:tcPr>
          <w:p w14:paraId="69A7F263" w14:textId="77777777" w:rsidR="001658E4" w:rsidRPr="00776763" w:rsidRDefault="001658E4" w:rsidP="001658E4">
            <w:pPr>
              <w:spacing w:line="280" w:lineRule="atLeast"/>
            </w:pPr>
          </w:p>
        </w:tc>
        <w:tc>
          <w:tcPr>
            <w:tcW w:w="1055" w:type="dxa"/>
            <w:vAlign w:val="center"/>
          </w:tcPr>
          <w:p w14:paraId="6B0A9EF9" w14:textId="77777777" w:rsidR="001658E4" w:rsidRPr="00776763" w:rsidRDefault="001658E4" w:rsidP="001658E4">
            <w:pPr>
              <w:spacing w:line="280" w:lineRule="atLeast"/>
            </w:pPr>
            <w:r w:rsidRPr="00776763">
              <w:t>(7,089)</w:t>
            </w:r>
          </w:p>
        </w:tc>
        <w:tc>
          <w:tcPr>
            <w:tcW w:w="1170" w:type="dxa"/>
            <w:vAlign w:val="center"/>
          </w:tcPr>
          <w:p w14:paraId="11819C96" w14:textId="77777777" w:rsidR="001658E4" w:rsidRPr="00776763" w:rsidRDefault="001658E4" w:rsidP="001658E4">
            <w:pPr>
              <w:spacing w:line="280" w:lineRule="atLeast"/>
            </w:pPr>
            <w:r w:rsidRPr="00776763">
              <w:t>(100%)</w:t>
            </w:r>
          </w:p>
        </w:tc>
        <w:tc>
          <w:tcPr>
            <w:tcW w:w="1170" w:type="dxa"/>
          </w:tcPr>
          <w:p w14:paraId="3460F026" w14:textId="77777777" w:rsidR="001658E4" w:rsidRPr="00776763" w:rsidRDefault="001658E4" w:rsidP="001658E4">
            <w:pPr>
              <w:spacing w:line="280" w:lineRule="atLeast"/>
            </w:pPr>
          </w:p>
        </w:tc>
      </w:tr>
      <w:tr w:rsidR="001658E4" w:rsidRPr="00902009" w14:paraId="4FE53BE7" w14:textId="77777777" w:rsidTr="001658E4">
        <w:trPr>
          <w:trHeight w:val="346"/>
        </w:trPr>
        <w:tc>
          <w:tcPr>
            <w:tcW w:w="1055" w:type="dxa"/>
          </w:tcPr>
          <w:p w14:paraId="703E383A" w14:textId="77777777" w:rsidR="001658E4" w:rsidRPr="00902009" w:rsidRDefault="001658E4" w:rsidP="00D666B5">
            <w:pPr>
              <w:spacing w:line="280" w:lineRule="atLeast"/>
              <w:jc w:val="both"/>
              <w:rPr>
                <w:i/>
              </w:rPr>
            </w:pPr>
          </w:p>
        </w:tc>
        <w:tc>
          <w:tcPr>
            <w:tcW w:w="9157" w:type="dxa"/>
            <w:gridSpan w:val="8"/>
            <w:shd w:val="clear" w:color="auto" w:fill="auto"/>
            <w:vAlign w:val="bottom"/>
          </w:tcPr>
          <w:p w14:paraId="1DFFF977" w14:textId="77777777" w:rsidR="001658E4" w:rsidRPr="00902009" w:rsidRDefault="001658E4" w:rsidP="00D666B5">
            <w:pPr>
              <w:spacing w:line="280" w:lineRule="atLeast"/>
              <w:jc w:val="both"/>
              <w:rPr>
                <w:i/>
              </w:rPr>
            </w:pPr>
            <w:r w:rsidRPr="00902009">
              <w:rPr>
                <w:i/>
              </w:rPr>
              <w:t xml:space="preserve">Source: U.S. Census 1990, SF3:P077; U.S. Census 2000, SF3:P 49. </w:t>
            </w:r>
          </w:p>
        </w:tc>
        <w:tc>
          <w:tcPr>
            <w:tcW w:w="1170" w:type="dxa"/>
          </w:tcPr>
          <w:p w14:paraId="00120F65" w14:textId="77777777" w:rsidR="001658E4" w:rsidRPr="00902009" w:rsidRDefault="001658E4" w:rsidP="00D666B5">
            <w:pPr>
              <w:spacing w:line="280" w:lineRule="atLeast"/>
              <w:jc w:val="both"/>
              <w:rPr>
                <w:i/>
              </w:rPr>
            </w:pPr>
          </w:p>
        </w:tc>
      </w:tr>
    </w:tbl>
    <w:p w14:paraId="2837FF30" w14:textId="77777777" w:rsidR="00D666B5" w:rsidRDefault="00D666B5" w:rsidP="00885ACB">
      <w:pPr>
        <w:spacing w:after="0" w:line="280" w:lineRule="atLeast"/>
        <w:jc w:val="both"/>
      </w:pPr>
    </w:p>
    <w:p w14:paraId="074595A1" w14:textId="77777777" w:rsidR="00885ACB" w:rsidRPr="00885ACB" w:rsidRDefault="002E1FEA" w:rsidP="00EF449A">
      <w:pPr>
        <w:pStyle w:val="Heading3"/>
      </w:pPr>
      <w:bookmarkStart w:id="75" w:name="_Toc383700004"/>
      <w:r>
        <w:t xml:space="preserve">d. </w:t>
      </w:r>
      <w:r w:rsidR="00885ACB" w:rsidRPr="00885ACB">
        <w:t>INCOME</w:t>
      </w:r>
      <w:bookmarkEnd w:id="75"/>
      <w:r w:rsidR="00885ACB" w:rsidRPr="00885ACB">
        <w:fldChar w:fldCharType="begin"/>
      </w:r>
      <w:r w:rsidR="00885ACB" w:rsidRPr="00885ACB">
        <w:instrText xml:space="preserve"> TC"</w:instrText>
      </w:r>
      <w:bookmarkStart w:id="76" w:name="_Toc53806456"/>
      <w:bookmarkStart w:id="77" w:name="_Toc66156048"/>
      <w:bookmarkStart w:id="78" w:name="_Toc76443968"/>
      <w:bookmarkStart w:id="79" w:name="_Toc123887098"/>
      <w:r w:rsidR="00885ACB" w:rsidRPr="00885ACB">
        <w:instrText>Income</w:instrText>
      </w:r>
      <w:bookmarkEnd w:id="76"/>
      <w:bookmarkEnd w:id="77"/>
      <w:bookmarkEnd w:id="78"/>
      <w:bookmarkEnd w:id="79"/>
      <w:r w:rsidR="00885ACB" w:rsidRPr="00885ACB">
        <w:instrText xml:space="preserve">"\l 3 </w:instrText>
      </w:r>
      <w:r w:rsidR="00885ACB" w:rsidRPr="00885ACB">
        <w:fldChar w:fldCharType="end"/>
      </w:r>
    </w:p>
    <w:p w14:paraId="1389F604" w14:textId="77777777" w:rsidR="00885ACB" w:rsidRDefault="00885ACB" w:rsidP="00885ACB">
      <w:pPr>
        <w:spacing w:after="0" w:line="280" w:lineRule="atLeast"/>
        <w:jc w:val="both"/>
      </w:pPr>
      <w:r w:rsidRPr="00885ACB">
        <w:t>The overall median household income in the unincorporated area based on the ACS 2008-2012 data was $61,868, up from $45,325 in 2000. The median household income varied significantly, however, throughout the County with the communities near Mammoth Lakes generally having higher overall income levels.  The median household income based upon HCD income limits for Mono County in 2012 was $79,600.</w:t>
      </w:r>
    </w:p>
    <w:p w14:paraId="2EAFB798" w14:textId="77777777" w:rsidR="00885ACB" w:rsidRDefault="00885ACB" w:rsidP="00885ACB">
      <w:pPr>
        <w:spacing w:after="0" w:line="280" w:lineRule="atLeast"/>
        <w:jc w:val="both"/>
      </w:pPr>
    </w:p>
    <w:p w14:paraId="26230847" w14:textId="77777777" w:rsidR="00D666B5" w:rsidRPr="00902009" w:rsidRDefault="00D666B5" w:rsidP="00D666B5">
      <w:pPr>
        <w:spacing w:line="280" w:lineRule="atLeast"/>
        <w:jc w:val="both"/>
      </w:pPr>
      <w:r w:rsidRPr="00902009">
        <w:t>Table 13: Household Income by CDP, 2012</w:t>
      </w:r>
    </w:p>
    <w:tbl>
      <w:tblPr>
        <w:tblW w:w="4460" w:type="dxa"/>
        <w:tblLook w:val="04A0" w:firstRow="1" w:lastRow="0" w:firstColumn="1" w:lastColumn="0" w:noHBand="0" w:noVBand="1"/>
      </w:tblPr>
      <w:tblGrid>
        <w:gridCol w:w="2260"/>
        <w:gridCol w:w="1100"/>
        <w:gridCol w:w="1100"/>
      </w:tblGrid>
      <w:tr w:rsidR="00D666B5" w:rsidRPr="00902009" w14:paraId="7072CA5C" w14:textId="77777777" w:rsidTr="00D666B5">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15F44"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22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B0748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Household Income</w:t>
            </w:r>
          </w:p>
        </w:tc>
      </w:tr>
      <w:tr w:rsidR="00D666B5" w:rsidRPr="00902009" w14:paraId="451911B3"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ECA2687"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14:paraId="2C34F3A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Median</w:t>
            </w:r>
          </w:p>
        </w:tc>
        <w:tc>
          <w:tcPr>
            <w:tcW w:w="1100" w:type="dxa"/>
            <w:tcBorders>
              <w:top w:val="nil"/>
              <w:left w:val="nil"/>
              <w:bottom w:val="single" w:sz="4" w:space="0" w:color="auto"/>
              <w:right w:val="single" w:sz="4" w:space="0" w:color="auto"/>
            </w:tcBorders>
            <w:shd w:val="clear" w:color="auto" w:fill="auto"/>
            <w:noWrap/>
            <w:vAlign w:val="bottom"/>
            <w:hideMark/>
          </w:tcPr>
          <w:p w14:paraId="0674ACE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xml:space="preserve">Mean </w:t>
            </w:r>
          </w:p>
        </w:tc>
      </w:tr>
      <w:tr w:rsidR="00D666B5" w:rsidRPr="00902009" w14:paraId="674D35D2"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DC8D152"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Countywide</w:t>
            </w:r>
          </w:p>
        </w:tc>
        <w:tc>
          <w:tcPr>
            <w:tcW w:w="1100" w:type="dxa"/>
            <w:tcBorders>
              <w:top w:val="nil"/>
              <w:left w:val="nil"/>
              <w:bottom w:val="single" w:sz="4" w:space="0" w:color="auto"/>
              <w:right w:val="single" w:sz="4" w:space="0" w:color="auto"/>
            </w:tcBorders>
            <w:shd w:val="clear" w:color="auto" w:fill="auto"/>
            <w:noWrap/>
            <w:vAlign w:val="bottom"/>
            <w:hideMark/>
          </w:tcPr>
          <w:p w14:paraId="4C133A1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61,868</w:t>
            </w:r>
          </w:p>
        </w:tc>
        <w:tc>
          <w:tcPr>
            <w:tcW w:w="1100" w:type="dxa"/>
            <w:tcBorders>
              <w:top w:val="nil"/>
              <w:left w:val="nil"/>
              <w:bottom w:val="single" w:sz="4" w:space="0" w:color="auto"/>
              <w:right w:val="single" w:sz="4" w:space="0" w:color="auto"/>
            </w:tcBorders>
            <w:shd w:val="clear" w:color="auto" w:fill="auto"/>
            <w:noWrap/>
            <w:vAlign w:val="bottom"/>
            <w:hideMark/>
          </w:tcPr>
          <w:p w14:paraId="18A75AA5"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68,546</w:t>
            </w:r>
          </w:p>
        </w:tc>
      </w:tr>
      <w:tr w:rsidR="00D666B5" w:rsidRPr="00902009" w14:paraId="66AA8D62"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81696E1" w14:textId="77777777" w:rsidR="00D666B5" w:rsidRPr="00902009" w:rsidRDefault="00D666B5" w:rsidP="00D666B5">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14:paraId="35A6E43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14:paraId="5E8D1D5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4DC13444"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7FEC417"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Mammoth Lakes</w:t>
            </w:r>
          </w:p>
        </w:tc>
        <w:tc>
          <w:tcPr>
            <w:tcW w:w="1100" w:type="dxa"/>
            <w:tcBorders>
              <w:top w:val="nil"/>
              <w:left w:val="nil"/>
              <w:bottom w:val="single" w:sz="4" w:space="0" w:color="auto"/>
              <w:right w:val="single" w:sz="4" w:space="0" w:color="auto"/>
            </w:tcBorders>
            <w:shd w:val="clear" w:color="auto" w:fill="auto"/>
            <w:noWrap/>
            <w:vAlign w:val="bottom"/>
            <w:hideMark/>
          </w:tcPr>
          <w:p w14:paraId="43B577E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59,972</w:t>
            </w:r>
          </w:p>
        </w:tc>
        <w:tc>
          <w:tcPr>
            <w:tcW w:w="1100" w:type="dxa"/>
            <w:tcBorders>
              <w:top w:val="nil"/>
              <w:left w:val="nil"/>
              <w:bottom w:val="single" w:sz="4" w:space="0" w:color="auto"/>
              <w:right w:val="single" w:sz="4" w:space="0" w:color="auto"/>
            </w:tcBorders>
            <w:shd w:val="clear" w:color="auto" w:fill="auto"/>
            <w:noWrap/>
            <w:vAlign w:val="bottom"/>
            <w:hideMark/>
          </w:tcPr>
          <w:p w14:paraId="23C4BE3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67,089</w:t>
            </w:r>
          </w:p>
        </w:tc>
      </w:tr>
      <w:tr w:rsidR="00D666B5" w:rsidRPr="00902009" w14:paraId="54AFDBFC"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7FF0613"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14:paraId="5D98B38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14:paraId="462D58A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4730BDAA"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997250A" w14:textId="77777777" w:rsidR="00D666B5" w:rsidRPr="00902009" w:rsidRDefault="00D666B5" w:rsidP="00D666B5">
            <w:pPr>
              <w:spacing w:after="0" w:line="240" w:lineRule="auto"/>
              <w:rPr>
                <w:rFonts w:eastAsia="Times New Roman" w:cs="Times New Roman"/>
                <w:i/>
                <w:iCs/>
                <w:color w:val="000000"/>
              </w:rPr>
            </w:pPr>
            <w:r w:rsidRPr="00902009">
              <w:rPr>
                <w:rFonts w:eastAsia="Times New Roman" w:cs="Times New Roman"/>
                <w:i/>
                <w:iCs/>
                <w:color w:val="000000"/>
              </w:rPr>
              <w:t>Mono County CDPs</w:t>
            </w:r>
          </w:p>
        </w:tc>
        <w:tc>
          <w:tcPr>
            <w:tcW w:w="1100" w:type="dxa"/>
            <w:tcBorders>
              <w:top w:val="nil"/>
              <w:left w:val="nil"/>
              <w:bottom w:val="single" w:sz="4" w:space="0" w:color="auto"/>
              <w:right w:val="single" w:sz="4" w:space="0" w:color="auto"/>
            </w:tcBorders>
            <w:shd w:val="clear" w:color="auto" w:fill="auto"/>
            <w:noWrap/>
            <w:vAlign w:val="bottom"/>
            <w:hideMark/>
          </w:tcPr>
          <w:p w14:paraId="3674F050"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14:paraId="3F33F45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 </w:t>
            </w:r>
          </w:p>
        </w:tc>
      </w:tr>
      <w:tr w:rsidR="00D666B5" w:rsidRPr="00902009" w14:paraId="4A892C10"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3E8EE5D"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Chalfant</w:t>
            </w:r>
          </w:p>
        </w:tc>
        <w:tc>
          <w:tcPr>
            <w:tcW w:w="1100" w:type="dxa"/>
            <w:tcBorders>
              <w:top w:val="nil"/>
              <w:left w:val="nil"/>
              <w:bottom w:val="single" w:sz="4" w:space="0" w:color="auto"/>
              <w:right w:val="single" w:sz="4" w:space="0" w:color="auto"/>
            </w:tcBorders>
            <w:shd w:val="clear" w:color="auto" w:fill="auto"/>
            <w:noWrap/>
            <w:vAlign w:val="bottom"/>
            <w:hideMark/>
          </w:tcPr>
          <w:p w14:paraId="0A0D23D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52,039</w:t>
            </w:r>
          </w:p>
        </w:tc>
        <w:tc>
          <w:tcPr>
            <w:tcW w:w="1100" w:type="dxa"/>
            <w:tcBorders>
              <w:top w:val="nil"/>
              <w:left w:val="nil"/>
              <w:bottom w:val="single" w:sz="4" w:space="0" w:color="auto"/>
              <w:right w:val="single" w:sz="4" w:space="0" w:color="auto"/>
            </w:tcBorders>
            <w:shd w:val="clear" w:color="auto" w:fill="auto"/>
            <w:noWrap/>
            <w:vAlign w:val="bottom"/>
            <w:hideMark/>
          </w:tcPr>
          <w:p w14:paraId="35243EC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59,800</w:t>
            </w:r>
          </w:p>
        </w:tc>
      </w:tr>
      <w:tr w:rsidR="00D666B5" w:rsidRPr="00902009" w14:paraId="19DDC592"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B6C3E81"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Benton</w:t>
            </w:r>
          </w:p>
        </w:tc>
        <w:tc>
          <w:tcPr>
            <w:tcW w:w="1100" w:type="dxa"/>
            <w:tcBorders>
              <w:top w:val="nil"/>
              <w:left w:val="nil"/>
              <w:bottom w:val="single" w:sz="4" w:space="0" w:color="auto"/>
              <w:right w:val="single" w:sz="4" w:space="0" w:color="auto"/>
            </w:tcBorders>
            <w:shd w:val="clear" w:color="auto" w:fill="auto"/>
            <w:noWrap/>
            <w:vAlign w:val="bottom"/>
            <w:hideMark/>
          </w:tcPr>
          <w:p w14:paraId="52A6826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12,069</w:t>
            </w:r>
          </w:p>
        </w:tc>
        <w:tc>
          <w:tcPr>
            <w:tcW w:w="1100" w:type="dxa"/>
            <w:tcBorders>
              <w:top w:val="nil"/>
              <w:left w:val="nil"/>
              <w:bottom w:val="single" w:sz="4" w:space="0" w:color="auto"/>
              <w:right w:val="single" w:sz="4" w:space="0" w:color="auto"/>
            </w:tcBorders>
            <w:shd w:val="clear" w:color="auto" w:fill="auto"/>
            <w:noWrap/>
            <w:vAlign w:val="bottom"/>
            <w:hideMark/>
          </w:tcPr>
          <w:p w14:paraId="58E665D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18,820</w:t>
            </w:r>
          </w:p>
        </w:tc>
      </w:tr>
      <w:tr w:rsidR="00D666B5" w:rsidRPr="00902009" w14:paraId="670D462E"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BF12B0F"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Paradise</w:t>
            </w:r>
          </w:p>
        </w:tc>
        <w:tc>
          <w:tcPr>
            <w:tcW w:w="1100" w:type="dxa"/>
            <w:tcBorders>
              <w:top w:val="nil"/>
              <w:left w:val="nil"/>
              <w:bottom w:val="single" w:sz="4" w:space="0" w:color="auto"/>
              <w:right w:val="single" w:sz="4" w:space="0" w:color="auto"/>
            </w:tcBorders>
            <w:shd w:val="clear" w:color="auto" w:fill="auto"/>
            <w:noWrap/>
            <w:vAlign w:val="bottom"/>
            <w:hideMark/>
          </w:tcPr>
          <w:p w14:paraId="1E0DC10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81,346</w:t>
            </w:r>
          </w:p>
        </w:tc>
        <w:tc>
          <w:tcPr>
            <w:tcW w:w="1100" w:type="dxa"/>
            <w:tcBorders>
              <w:top w:val="nil"/>
              <w:left w:val="nil"/>
              <w:bottom w:val="single" w:sz="4" w:space="0" w:color="auto"/>
              <w:right w:val="single" w:sz="4" w:space="0" w:color="auto"/>
            </w:tcBorders>
            <w:shd w:val="clear" w:color="auto" w:fill="auto"/>
            <w:noWrap/>
            <w:vAlign w:val="bottom"/>
            <w:hideMark/>
          </w:tcPr>
          <w:p w14:paraId="10B4116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91,905</w:t>
            </w:r>
          </w:p>
        </w:tc>
      </w:tr>
      <w:tr w:rsidR="00D666B5" w:rsidRPr="00902009" w14:paraId="37D4108C"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34A4CC6"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Swall Meadows</w:t>
            </w:r>
          </w:p>
        </w:tc>
        <w:tc>
          <w:tcPr>
            <w:tcW w:w="1100" w:type="dxa"/>
            <w:tcBorders>
              <w:top w:val="nil"/>
              <w:left w:val="nil"/>
              <w:bottom w:val="single" w:sz="4" w:space="0" w:color="auto"/>
              <w:right w:val="single" w:sz="4" w:space="0" w:color="auto"/>
            </w:tcBorders>
            <w:shd w:val="clear" w:color="auto" w:fill="auto"/>
            <w:noWrap/>
            <w:vAlign w:val="bottom"/>
            <w:hideMark/>
          </w:tcPr>
          <w:p w14:paraId="546FF74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96,471</w:t>
            </w:r>
          </w:p>
        </w:tc>
        <w:tc>
          <w:tcPr>
            <w:tcW w:w="1100" w:type="dxa"/>
            <w:tcBorders>
              <w:top w:val="nil"/>
              <w:left w:val="nil"/>
              <w:bottom w:val="single" w:sz="4" w:space="0" w:color="auto"/>
              <w:right w:val="single" w:sz="4" w:space="0" w:color="auto"/>
            </w:tcBorders>
            <w:shd w:val="clear" w:color="auto" w:fill="auto"/>
            <w:noWrap/>
            <w:vAlign w:val="bottom"/>
            <w:hideMark/>
          </w:tcPr>
          <w:p w14:paraId="666E7D9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112,333</w:t>
            </w:r>
          </w:p>
        </w:tc>
      </w:tr>
      <w:tr w:rsidR="00D666B5" w:rsidRPr="00902009" w14:paraId="657C1330"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D8BA1C6"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Sunny Slopes</w:t>
            </w:r>
          </w:p>
        </w:tc>
        <w:tc>
          <w:tcPr>
            <w:tcW w:w="1100" w:type="dxa"/>
            <w:tcBorders>
              <w:top w:val="nil"/>
              <w:left w:val="nil"/>
              <w:bottom w:val="single" w:sz="4" w:space="0" w:color="auto"/>
              <w:right w:val="single" w:sz="4" w:space="0" w:color="auto"/>
            </w:tcBorders>
            <w:shd w:val="clear" w:color="auto" w:fill="auto"/>
            <w:noWrap/>
            <w:vAlign w:val="bottom"/>
            <w:hideMark/>
          </w:tcPr>
          <w:p w14:paraId="50CA1DB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133,287</w:t>
            </w:r>
          </w:p>
        </w:tc>
        <w:tc>
          <w:tcPr>
            <w:tcW w:w="1100" w:type="dxa"/>
            <w:tcBorders>
              <w:top w:val="nil"/>
              <w:left w:val="nil"/>
              <w:bottom w:val="single" w:sz="4" w:space="0" w:color="auto"/>
              <w:right w:val="single" w:sz="4" w:space="0" w:color="auto"/>
            </w:tcBorders>
            <w:shd w:val="clear" w:color="auto" w:fill="auto"/>
            <w:noWrap/>
            <w:vAlign w:val="bottom"/>
            <w:hideMark/>
          </w:tcPr>
          <w:p w14:paraId="74E3E2A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NA</w:t>
            </w:r>
          </w:p>
        </w:tc>
      </w:tr>
      <w:tr w:rsidR="00D666B5" w:rsidRPr="00902009" w14:paraId="36A0E54B"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3F8FA84" w14:textId="77777777" w:rsidR="00D666B5" w:rsidRPr="00902009" w:rsidRDefault="00022FE4" w:rsidP="00D666B5">
            <w:pPr>
              <w:spacing w:after="0" w:line="240" w:lineRule="auto"/>
              <w:rPr>
                <w:rFonts w:eastAsia="Times New Roman" w:cs="Times New Roman"/>
                <w:color w:val="000000"/>
              </w:rPr>
            </w:pPr>
            <w:r>
              <w:rPr>
                <w:rFonts w:eastAsia="Times New Roman" w:cs="Times New Roman"/>
                <w:color w:val="000000"/>
              </w:rPr>
              <w:t>Asp</w:t>
            </w:r>
            <w:r w:rsidR="00D666B5" w:rsidRPr="00902009">
              <w:rPr>
                <w:rFonts w:eastAsia="Times New Roman" w:cs="Times New Roman"/>
                <w:color w:val="000000"/>
              </w:rPr>
              <w:t>en Springs</w:t>
            </w:r>
          </w:p>
        </w:tc>
        <w:tc>
          <w:tcPr>
            <w:tcW w:w="1100" w:type="dxa"/>
            <w:tcBorders>
              <w:top w:val="nil"/>
              <w:left w:val="nil"/>
              <w:bottom w:val="single" w:sz="4" w:space="0" w:color="auto"/>
              <w:right w:val="single" w:sz="4" w:space="0" w:color="auto"/>
            </w:tcBorders>
            <w:shd w:val="clear" w:color="auto" w:fill="auto"/>
            <w:noWrap/>
            <w:vAlign w:val="bottom"/>
            <w:hideMark/>
          </w:tcPr>
          <w:p w14:paraId="61AF913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NA</w:t>
            </w:r>
          </w:p>
        </w:tc>
        <w:tc>
          <w:tcPr>
            <w:tcW w:w="1100" w:type="dxa"/>
            <w:tcBorders>
              <w:top w:val="nil"/>
              <w:left w:val="nil"/>
              <w:bottom w:val="single" w:sz="4" w:space="0" w:color="auto"/>
              <w:right w:val="single" w:sz="4" w:space="0" w:color="auto"/>
            </w:tcBorders>
            <w:shd w:val="clear" w:color="auto" w:fill="auto"/>
            <w:noWrap/>
            <w:vAlign w:val="bottom"/>
            <w:hideMark/>
          </w:tcPr>
          <w:p w14:paraId="2763B19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NA</w:t>
            </w:r>
          </w:p>
        </w:tc>
      </w:tr>
      <w:tr w:rsidR="00D666B5" w:rsidRPr="00902009" w14:paraId="235C43C6"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5893640"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Crowley Lake</w:t>
            </w:r>
          </w:p>
        </w:tc>
        <w:tc>
          <w:tcPr>
            <w:tcW w:w="1100" w:type="dxa"/>
            <w:tcBorders>
              <w:top w:val="nil"/>
              <w:left w:val="nil"/>
              <w:bottom w:val="single" w:sz="4" w:space="0" w:color="auto"/>
              <w:right w:val="single" w:sz="4" w:space="0" w:color="auto"/>
            </w:tcBorders>
            <w:shd w:val="clear" w:color="auto" w:fill="auto"/>
            <w:noWrap/>
            <w:vAlign w:val="bottom"/>
            <w:hideMark/>
          </w:tcPr>
          <w:p w14:paraId="0BF3247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85,735</w:t>
            </w:r>
          </w:p>
        </w:tc>
        <w:tc>
          <w:tcPr>
            <w:tcW w:w="1100" w:type="dxa"/>
            <w:tcBorders>
              <w:top w:val="nil"/>
              <w:left w:val="nil"/>
              <w:bottom w:val="single" w:sz="4" w:space="0" w:color="auto"/>
              <w:right w:val="single" w:sz="4" w:space="0" w:color="auto"/>
            </w:tcBorders>
            <w:shd w:val="clear" w:color="auto" w:fill="auto"/>
            <w:noWrap/>
            <w:vAlign w:val="bottom"/>
            <w:hideMark/>
          </w:tcPr>
          <w:p w14:paraId="09C9F22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76,856</w:t>
            </w:r>
          </w:p>
        </w:tc>
      </w:tr>
      <w:tr w:rsidR="00D666B5" w:rsidRPr="00902009" w14:paraId="03DF1D84"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5A0C8D7"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McGee Creek</w:t>
            </w:r>
          </w:p>
        </w:tc>
        <w:tc>
          <w:tcPr>
            <w:tcW w:w="1100" w:type="dxa"/>
            <w:tcBorders>
              <w:top w:val="nil"/>
              <w:left w:val="nil"/>
              <w:bottom w:val="single" w:sz="4" w:space="0" w:color="auto"/>
              <w:right w:val="single" w:sz="4" w:space="0" w:color="auto"/>
            </w:tcBorders>
            <w:shd w:val="clear" w:color="auto" w:fill="auto"/>
            <w:noWrap/>
            <w:vAlign w:val="bottom"/>
            <w:hideMark/>
          </w:tcPr>
          <w:p w14:paraId="2445A5A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89,290</w:t>
            </w:r>
          </w:p>
        </w:tc>
        <w:tc>
          <w:tcPr>
            <w:tcW w:w="1100" w:type="dxa"/>
            <w:tcBorders>
              <w:top w:val="nil"/>
              <w:left w:val="nil"/>
              <w:bottom w:val="single" w:sz="4" w:space="0" w:color="auto"/>
              <w:right w:val="single" w:sz="4" w:space="0" w:color="auto"/>
            </w:tcBorders>
            <w:shd w:val="clear" w:color="auto" w:fill="auto"/>
            <w:noWrap/>
            <w:vAlign w:val="bottom"/>
            <w:hideMark/>
          </w:tcPr>
          <w:p w14:paraId="1EF04DA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141,335</w:t>
            </w:r>
          </w:p>
        </w:tc>
      </w:tr>
      <w:tr w:rsidR="00D666B5" w:rsidRPr="00902009" w14:paraId="05796706"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17C0661"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June Lake</w:t>
            </w:r>
          </w:p>
        </w:tc>
        <w:tc>
          <w:tcPr>
            <w:tcW w:w="1100" w:type="dxa"/>
            <w:tcBorders>
              <w:top w:val="nil"/>
              <w:left w:val="nil"/>
              <w:bottom w:val="single" w:sz="4" w:space="0" w:color="auto"/>
              <w:right w:val="single" w:sz="4" w:space="0" w:color="auto"/>
            </w:tcBorders>
            <w:shd w:val="clear" w:color="auto" w:fill="auto"/>
            <w:noWrap/>
            <w:vAlign w:val="bottom"/>
            <w:hideMark/>
          </w:tcPr>
          <w:p w14:paraId="2E0D7E4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29,329</w:t>
            </w:r>
          </w:p>
        </w:tc>
        <w:tc>
          <w:tcPr>
            <w:tcW w:w="1100" w:type="dxa"/>
            <w:tcBorders>
              <w:top w:val="nil"/>
              <w:left w:val="nil"/>
              <w:bottom w:val="single" w:sz="4" w:space="0" w:color="auto"/>
              <w:right w:val="single" w:sz="4" w:space="0" w:color="auto"/>
            </w:tcBorders>
            <w:shd w:val="clear" w:color="auto" w:fill="auto"/>
            <w:noWrap/>
            <w:vAlign w:val="bottom"/>
            <w:hideMark/>
          </w:tcPr>
          <w:p w14:paraId="56B1FE66"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40,173</w:t>
            </w:r>
          </w:p>
        </w:tc>
      </w:tr>
      <w:tr w:rsidR="00D666B5" w:rsidRPr="00902009" w14:paraId="53120C6E"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D720E19"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Lee Vining</w:t>
            </w:r>
          </w:p>
        </w:tc>
        <w:tc>
          <w:tcPr>
            <w:tcW w:w="1100" w:type="dxa"/>
            <w:tcBorders>
              <w:top w:val="nil"/>
              <w:left w:val="nil"/>
              <w:bottom w:val="single" w:sz="4" w:space="0" w:color="auto"/>
              <w:right w:val="single" w:sz="4" w:space="0" w:color="auto"/>
            </w:tcBorders>
            <w:shd w:val="clear" w:color="auto" w:fill="auto"/>
            <w:noWrap/>
            <w:vAlign w:val="bottom"/>
            <w:hideMark/>
          </w:tcPr>
          <w:p w14:paraId="3B93A26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70,172</w:t>
            </w:r>
          </w:p>
        </w:tc>
        <w:tc>
          <w:tcPr>
            <w:tcW w:w="1100" w:type="dxa"/>
            <w:tcBorders>
              <w:top w:val="nil"/>
              <w:left w:val="nil"/>
              <w:bottom w:val="single" w:sz="4" w:space="0" w:color="auto"/>
              <w:right w:val="single" w:sz="4" w:space="0" w:color="auto"/>
            </w:tcBorders>
            <w:shd w:val="clear" w:color="auto" w:fill="auto"/>
            <w:noWrap/>
            <w:vAlign w:val="bottom"/>
            <w:hideMark/>
          </w:tcPr>
          <w:p w14:paraId="29CA5B01"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57,240</w:t>
            </w:r>
          </w:p>
        </w:tc>
      </w:tr>
      <w:tr w:rsidR="00D666B5" w:rsidRPr="00902009" w14:paraId="21718380"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673B458"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Mono City</w:t>
            </w:r>
          </w:p>
        </w:tc>
        <w:tc>
          <w:tcPr>
            <w:tcW w:w="1100" w:type="dxa"/>
            <w:tcBorders>
              <w:top w:val="nil"/>
              <w:left w:val="nil"/>
              <w:bottom w:val="single" w:sz="4" w:space="0" w:color="auto"/>
              <w:right w:val="single" w:sz="4" w:space="0" w:color="auto"/>
            </w:tcBorders>
            <w:shd w:val="clear" w:color="auto" w:fill="auto"/>
            <w:noWrap/>
            <w:vAlign w:val="bottom"/>
            <w:hideMark/>
          </w:tcPr>
          <w:p w14:paraId="4FDA92B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41,875</w:t>
            </w:r>
          </w:p>
        </w:tc>
        <w:tc>
          <w:tcPr>
            <w:tcW w:w="1100" w:type="dxa"/>
            <w:tcBorders>
              <w:top w:val="nil"/>
              <w:left w:val="nil"/>
              <w:bottom w:val="single" w:sz="4" w:space="0" w:color="auto"/>
              <w:right w:val="single" w:sz="4" w:space="0" w:color="auto"/>
            </w:tcBorders>
            <w:shd w:val="clear" w:color="auto" w:fill="auto"/>
            <w:noWrap/>
            <w:vAlign w:val="bottom"/>
            <w:hideMark/>
          </w:tcPr>
          <w:p w14:paraId="0F3C901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47,652</w:t>
            </w:r>
          </w:p>
        </w:tc>
      </w:tr>
      <w:tr w:rsidR="00D666B5" w:rsidRPr="00902009" w14:paraId="78E0FD9B"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ACE8C9C"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Bridgeport</w:t>
            </w:r>
          </w:p>
        </w:tc>
        <w:tc>
          <w:tcPr>
            <w:tcW w:w="1100" w:type="dxa"/>
            <w:tcBorders>
              <w:top w:val="nil"/>
              <w:left w:val="nil"/>
              <w:bottom w:val="single" w:sz="4" w:space="0" w:color="auto"/>
              <w:right w:val="single" w:sz="4" w:space="0" w:color="auto"/>
            </w:tcBorders>
            <w:shd w:val="clear" w:color="auto" w:fill="auto"/>
            <w:noWrap/>
            <w:vAlign w:val="bottom"/>
            <w:hideMark/>
          </w:tcPr>
          <w:p w14:paraId="00F4FE9D"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71,250</w:t>
            </w:r>
          </w:p>
        </w:tc>
        <w:tc>
          <w:tcPr>
            <w:tcW w:w="1100" w:type="dxa"/>
            <w:tcBorders>
              <w:top w:val="nil"/>
              <w:left w:val="nil"/>
              <w:bottom w:val="single" w:sz="4" w:space="0" w:color="auto"/>
              <w:right w:val="single" w:sz="4" w:space="0" w:color="auto"/>
            </w:tcBorders>
            <w:shd w:val="clear" w:color="auto" w:fill="auto"/>
            <w:noWrap/>
            <w:vAlign w:val="bottom"/>
            <w:hideMark/>
          </w:tcPr>
          <w:p w14:paraId="51D87A8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64,143</w:t>
            </w:r>
          </w:p>
        </w:tc>
      </w:tr>
      <w:tr w:rsidR="00D666B5" w:rsidRPr="00902009" w14:paraId="7268FC92"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A6E1EF0"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Walker</w:t>
            </w:r>
          </w:p>
        </w:tc>
        <w:tc>
          <w:tcPr>
            <w:tcW w:w="1100" w:type="dxa"/>
            <w:tcBorders>
              <w:top w:val="nil"/>
              <w:left w:val="nil"/>
              <w:bottom w:val="single" w:sz="4" w:space="0" w:color="auto"/>
              <w:right w:val="single" w:sz="4" w:space="0" w:color="auto"/>
            </w:tcBorders>
            <w:shd w:val="clear" w:color="auto" w:fill="auto"/>
            <w:noWrap/>
            <w:vAlign w:val="bottom"/>
            <w:hideMark/>
          </w:tcPr>
          <w:p w14:paraId="1DA5D24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50,655</w:t>
            </w:r>
          </w:p>
        </w:tc>
        <w:tc>
          <w:tcPr>
            <w:tcW w:w="1100" w:type="dxa"/>
            <w:tcBorders>
              <w:top w:val="nil"/>
              <w:left w:val="nil"/>
              <w:bottom w:val="single" w:sz="4" w:space="0" w:color="auto"/>
              <w:right w:val="single" w:sz="4" w:space="0" w:color="auto"/>
            </w:tcBorders>
            <w:shd w:val="clear" w:color="auto" w:fill="auto"/>
            <w:noWrap/>
            <w:vAlign w:val="bottom"/>
            <w:hideMark/>
          </w:tcPr>
          <w:p w14:paraId="7D81AA2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61,119</w:t>
            </w:r>
          </w:p>
        </w:tc>
      </w:tr>
      <w:tr w:rsidR="00D666B5" w:rsidRPr="00902009" w14:paraId="536E8A3E"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0AE509E"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Coleville</w:t>
            </w:r>
          </w:p>
        </w:tc>
        <w:tc>
          <w:tcPr>
            <w:tcW w:w="1100" w:type="dxa"/>
            <w:tcBorders>
              <w:top w:val="nil"/>
              <w:left w:val="nil"/>
              <w:bottom w:val="single" w:sz="4" w:space="0" w:color="auto"/>
              <w:right w:val="single" w:sz="4" w:space="0" w:color="auto"/>
            </w:tcBorders>
            <w:shd w:val="clear" w:color="auto" w:fill="auto"/>
            <w:noWrap/>
            <w:vAlign w:val="bottom"/>
            <w:hideMark/>
          </w:tcPr>
          <w:p w14:paraId="7A57A6A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39,559</w:t>
            </w:r>
          </w:p>
        </w:tc>
        <w:tc>
          <w:tcPr>
            <w:tcW w:w="1100" w:type="dxa"/>
            <w:tcBorders>
              <w:top w:val="nil"/>
              <w:left w:val="nil"/>
              <w:bottom w:val="single" w:sz="4" w:space="0" w:color="auto"/>
              <w:right w:val="single" w:sz="4" w:space="0" w:color="auto"/>
            </w:tcBorders>
            <w:shd w:val="clear" w:color="auto" w:fill="auto"/>
            <w:noWrap/>
            <w:vAlign w:val="bottom"/>
            <w:hideMark/>
          </w:tcPr>
          <w:p w14:paraId="0FA1F632"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51,669</w:t>
            </w:r>
          </w:p>
        </w:tc>
      </w:tr>
      <w:tr w:rsidR="00D666B5" w:rsidRPr="00902009" w14:paraId="02A5FD06" w14:textId="77777777" w:rsidTr="00D666B5">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2BA6190"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Topaz</w:t>
            </w:r>
          </w:p>
        </w:tc>
        <w:tc>
          <w:tcPr>
            <w:tcW w:w="1100" w:type="dxa"/>
            <w:tcBorders>
              <w:top w:val="nil"/>
              <w:left w:val="nil"/>
              <w:bottom w:val="single" w:sz="4" w:space="0" w:color="auto"/>
              <w:right w:val="single" w:sz="4" w:space="0" w:color="auto"/>
            </w:tcBorders>
            <w:shd w:val="clear" w:color="auto" w:fill="auto"/>
            <w:noWrap/>
            <w:vAlign w:val="bottom"/>
            <w:hideMark/>
          </w:tcPr>
          <w:p w14:paraId="533DA08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NA</w:t>
            </w:r>
          </w:p>
        </w:tc>
        <w:tc>
          <w:tcPr>
            <w:tcW w:w="1100" w:type="dxa"/>
            <w:tcBorders>
              <w:top w:val="nil"/>
              <w:left w:val="nil"/>
              <w:bottom w:val="single" w:sz="4" w:space="0" w:color="auto"/>
              <w:right w:val="single" w:sz="4" w:space="0" w:color="auto"/>
            </w:tcBorders>
            <w:shd w:val="clear" w:color="auto" w:fill="auto"/>
            <w:noWrap/>
            <w:vAlign w:val="bottom"/>
            <w:hideMark/>
          </w:tcPr>
          <w:p w14:paraId="7E439B3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NA</w:t>
            </w:r>
          </w:p>
        </w:tc>
      </w:tr>
    </w:tbl>
    <w:p w14:paraId="34E88EA5" w14:textId="77777777" w:rsidR="00D666B5" w:rsidRPr="00902009" w:rsidRDefault="00D666B5" w:rsidP="00D666B5">
      <w:pPr>
        <w:spacing w:line="280" w:lineRule="atLeast"/>
        <w:jc w:val="both"/>
      </w:pPr>
      <w:r w:rsidRPr="00902009">
        <w:t>Source ACS, 2007-2012</w:t>
      </w:r>
    </w:p>
    <w:p w14:paraId="58B52403" w14:textId="77777777" w:rsidR="00885ACB" w:rsidRDefault="00885ACB" w:rsidP="00885ACB">
      <w:pPr>
        <w:spacing w:after="0" w:line="280" w:lineRule="atLeast"/>
        <w:jc w:val="both"/>
        <w:rPr>
          <w:b/>
        </w:rPr>
      </w:pPr>
    </w:p>
    <w:p w14:paraId="3833704A" w14:textId="77777777" w:rsidR="00885ACB" w:rsidRPr="00885ACB" w:rsidRDefault="002E1FEA" w:rsidP="00EF449A">
      <w:pPr>
        <w:pStyle w:val="Heading3"/>
      </w:pPr>
      <w:bookmarkStart w:id="80" w:name="_Toc383700005"/>
      <w:r>
        <w:t xml:space="preserve">e. </w:t>
      </w:r>
      <w:r w:rsidR="00885ACB" w:rsidRPr="00885ACB">
        <w:t>POVERTY</w:t>
      </w:r>
      <w:bookmarkEnd w:id="80"/>
      <w:r w:rsidR="00885ACB" w:rsidRPr="00885ACB">
        <w:fldChar w:fldCharType="begin"/>
      </w:r>
      <w:r w:rsidR="00885ACB" w:rsidRPr="00885ACB">
        <w:instrText xml:space="preserve"> TC"</w:instrText>
      </w:r>
      <w:bookmarkStart w:id="81" w:name="_Toc53806457"/>
      <w:bookmarkStart w:id="82" w:name="_Toc66156049"/>
      <w:bookmarkStart w:id="83" w:name="_Toc76443969"/>
      <w:bookmarkStart w:id="84" w:name="_Toc123887099"/>
      <w:r w:rsidR="00885ACB" w:rsidRPr="00885ACB">
        <w:instrText>Poverty</w:instrText>
      </w:r>
      <w:bookmarkEnd w:id="81"/>
      <w:bookmarkEnd w:id="82"/>
      <w:bookmarkEnd w:id="83"/>
      <w:bookmarkEnd w:id="84"/>
      <w:r w:rsidR="00885ACB" w:rsidRPr="00885ACB">
        <w:instrText xml:space="preserve">"\l 3 </w:instrText>
      </w:r>
      <w:r w:rsidR="00885ACB" w:rsidRPr="00885ACB">
        <w:fldChar w:fldCharType="end"/>
      </w:r>
    </w:p>
    <w:p w14:paraId="2867A19F" w14:textId="77777777" w:rsidR="00885ACB" w:rsidRDefault="00885ACB" w:rsidP="00885ACB">
      <w:pPr>
        <w:spacing w:after="0" w:line="280" w:lineRule="atLeast"/>
        <w:jc w:val="both"/>
      </w:pPr>
      <w:r w:rsidRPr="00885ACB">
        <w:t>The total number of persons with income below poverty level in the unincorporated area decreased from 563 in 1989 to 438 in 1999. During the same time period, the number of persons with income below poverty level decreased for all age groups, except 18-64 years old, which increased from 282 to 292 persons, and in all planning areas except June Lake, which increased from 30 to 39 persons and Long Valley/Wheeler Crest, which increased from 19 to 38 persons. ACS poverty data for Mono County has not yet been released from the 2008-2012 ACS data set.</w:t>
      </w:r>
    </w:p>
    <w:p w14:paraId="2AB02954" w14:textId="77777777" w:rsidR="00885ACB" w:rsidRDefault="00885ACB" w:rsidP="00885ACB">
      <w:pPr>
        <w:spacing w:after="0" w:line="280" w:lineRule="atLeast"/>
        <w:jc w:val="both"/>
      </w:pPr>
    </w:p>
    <w:p w14:paraId="432E49D1" w14:textId="77777777" w:rsidR="00D666B5" w:rsidRPr="00902009" w:rsidRDefault="00D666B5" w:rsidP="00D666B5">
      <w:pPr>
        <w:spacing w:line="280" w:lineRule="atLeast"/>
        <w:jc w:val="both"/>
      </w:pPr>
      <w:r w:rsidRPr="00902009">
        <w:t>Table 13</w:t>
      </w:r>
      <w:r>
        <w:t>.2</w:t>
      </w:r>
      <w:r w:rsidRPr="00902009">
        <w:t xml:space="preserve"> Persons with income below poverty level, 1989 and 1999</w:t>
      </w:r>
    </w:p>
    <w:tbl>
      <w:tblPr>
        <w:tblW w:w="3020" w:type="dxa"/>
        <w:tblInd w:w="-5" w:type="dxa"/>
        <w:tblLook w:val="04A0" w:firstRow="1" w:lastRow="0" w:firstColumn="1" w:lastColumn="0" w:noHBand="0" w:noVBand="1"/>
      </w:tblPr>
      <w:tblGrid>
        <w:gridCol w:w="1100"/>
        <w:gridCol w:w="960"/>
        <w:gridCol w:w="960"/>
      </w:tblGrid>
      <w:tr w:rsidR="00D666B5" w:rsidRPr="00902009" w14:paraId="019E0C2B" w14:textId="77777777" w:rsidTr="00D666B5">
        <w:trPr>
          <w:trHeight w:val="300"/>
        </w:trPr>
        <w:tc>
          <w:tcPr>
            <w:tcW w:w="110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1D2A9A5" w14:textId="77777777" w:rsidR="00D666B5" w:rsidRPr="00902009" w:rsidRDefault="00D666B5" w:rsidP="00D666B5">
            <w:pPr>
              <w:spacing w:after="0" w:line="240" w:lineRule="auto"/>
              <w:rPr>
                <w:rFonts w:eastAsia="Times New Roman" w:cs="Times New Roman"/>
                <w:b/>
                <w:bCs/>
                <w:color w:val="000000"/>
              </w:rPr>
            </w:pPr>
            <w:r w:rsidRPr="00902009">
              <w:rPr>
                <w:rFonts w:eastAsia="Times New Roman" w:cs="Times New Roman"/>
                <w:b/>
                <w:bCs/>
                <w:color w:val="000000"/>
              </w:rPr>
              <w:t>Age Group</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69C30D29" w14:textId="77777777" w:rsidR="00D666B5" w:rsidRPr="00902009" w:rsidRDefault="00D666B5" w:rsidP="00D666B5">
            <w:pPr>
              <w:spacing w:after="0" w:line="240" w:lineRule="auto"/>
              <w:jc w:val="center"/>
              <w:rPr>
                <w:rFonts w:eastAsia="Times New Roman" w:cs="Times New Roman"/>
                <w:b/>
                <w:bCs/>
                <w:color w:val="000000"/>
              </w:rPr>
            </w:pPr>
            <w:r w:rsidRPr="00902009">
              <w:rPr>
                <w:rFonts w:eastAsia="Times New Roman" w:cs="Times New Roman"/>
                <w:b/>
                <w:bCs/>
                <w:color w:val="000000"/>
              </w:rPr>
              <w:t>1989</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7ADCBF26" w14:textId="77777777" w:rsidR="00D666B5" w:rsidRPr="00902009" w:rsidRDefault="00D666B5" w:rsidP="00D666B5">
            <w:pPr>
              <w:spacing w:after="0" w:line="240" w:lineRule="auto"/>
              <w:jc w:val="center"/>
              <w:rPr>
                <w:rFonts w:eastAsia="Times New Roman" w:cs="Times New Roman"/>
                <w:b/>
                <w:bCs/>
                <w:color w:val="000000"/>
              </w:rPr>
            </w:pPr>
            <w:r w:rsidRPr="00902009">
              <w:rPr>
                <w:rFonts w:eastAsia="Times New Roman" w:cs="Times New Roman"/>
                <w:b/>
                <w:bCs/>
                <w:color w:val="000000"/>
              </w:rPr>
              <w:t>1999</w:t>
            </w:r>
          </w:p>
        </w:tc>
      </w:tr>
      <w:tr w:rsidR="00D666B5" w:rsidRPr="00902009" w14:paraId="54F98A24" w14:textId="77777777" w:rsidTr="00D666B5">
        <w:trPr>
          <w:trHeight w:val="300"/>
        </w:trPr>
        <w:tc>
          <w:tcPr>
            <w:tcW w:w="1100" w:type="dxa"/>
            <w:tcBorders>
              <w:top w:val="nil"/>
              <w:left w:val="single" w:sz="4" w:space="0" w:color="auto"/>
              <w:bottom w:val="single" w:sz="4" w:space="0" w:color="auto"/>
              <w:right w:val="single" w:sz="4" w:space="0" w:color="auto"/>
            </w:tcBorders>
            <w:shd w:val="clear" w:color="000000" w:fill="BDD7EE"/>
            <w:noWrap/>
            <w:vAlign w:val="bottom"/>
            <w:hideMark/>
          </w:tcPr>
          <w:p w14:paraId="27458EBC"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Under 5</w:t>
            </w:r>
          </w:p>
        </w:tc>
        <w:tc>
          <w:tcPr>
            <w:tcW w:w="960" w:type="dxa"/>
            <w:tcBorders>
              <w:top w:val="nil"/>
              <w:left w:val="nil"/>
              <w:bottom w:val="single" w:sz="4" w:space="0" w:color="auto"/>
              <w:right w:val="single" w:sz="4" w:space="0" w:color="auto"/>
            </w:tcBorders>
            <w:shd w:val="clear" w:color="auto" w:fill="auto"/>
            <w:noWrap/>
            <w:vAlign w:val="bottom"/>
            <w:hideMark/>
          </w:tcPr>
          <w:p w14:paraId="3281963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14:paraId="306CB21B"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50</w:t>
            </w:r>
          </w:p>
        </w:tc>
      </w:tr>
      <w:tr w:rsidR="00D666B5" w:rsidRPr="00902009" w14:paraId="1093BE8C" w14:textId="77777777" w:rsidTr="00D666B5">
        <w:trPr>
          <w:trHeight w:val="300"/>
        </w:trPr>
        <w:tc>
          <w:tcPr>
            <w:tcW w:w="1100" w:type="dxa"/>
            <w:tcBorders>
              <w:top w:val="nil"/>
              <w:left w:val="single" w:sz="4" w:space="0" w:color="auto"/>
              <w:bottom w:val="single" w:sz="4" w:space="0" w:color="auto"/>
              <w:right w:val="single" w:sz="4" w:space="0" w:color="auto"/>
            </w:tcBorders>
            <w:shd w:val="clear" w:color="000000" w:fill="BDD7EE"/>
            <w:noWrap/>
            <w:vAlign w:val="bottom"/>
            <w:hideMark/>
          </w:tcPr>
          <w:p w14:paraId="04355E7C"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5 - 17</w:t>
            </w:r>
          </w:p>
        </w:tc>
        <w:tc>
          <w:tcPr>
            <w:tcW w:w="960" w:type="dxa"/>
            <w:tcBorders>
              <w:top w:val="nil"/>
              <w:left w:val="nil"/>
              <w:bottom w:val="single" w:sz="4" w:space="0" w:color="auto"/>
              <w:right w:val="single" w:sz="4" w:space="0" w:color="auto"/>
            </w:tcBorders>
            <w:shd w:val="clear" w:color="auto" w:fill="auto"/>
            <w:noWrap/>
            <w:vAlign w:val="bottom"/>
            <w:hideMark/>
          </w:tcPr>
          <w:p w14:paraId="0E767D49"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117</w:t>
            </w:r>
          </w:p>
        </w:tc>
        <w:tc>
          <w:tcPr>
            <w:tcW w:w="960" w:type="dxa"/>
            <w:tcBorders>
              <w:top w:val="nil"/>
              <w:left w:val="nil"/>
              <w:bottom w:val="single" w:sz="4" w:space="0" w:color="auto"/>
              <w:right w:val="single" w:sz="4" w:space="0" w:color="auto"/>
            </w:tcBorders>
            <w:shd w:val="clear" w:color="auto" w:fill="auto"/>
            <w:noWrap/>
            <w:vAlign w:val="bottom"/>
            <w:hideMark/>
          </w:tcPr>
          <w:p w14:paraId="72B122DF"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78</w:t>
            </w:r>
          </w:p>
        </w:tc>
      </w:tr>
      <w:tr w:rsidR="00D666B5" w:rsidRPr="00902009" w14:paraId="405F322A" w14:textId="77777777" w:rsidTr="00D666B5">
        <w:trPr>
          <w:trHeight w:val="300"/>
        </w:trPr>
        <w:tc>
          <w:tcPr>
            <w:tcW w:w="1100" w:type="dxa"/>
            <w:tcBorders>
              <w:top w:val="nil"/>
              <w:left w:val="single" w:sz="4" w:space="0" w:color="auto"/>
              <w:bottom w:val="single" w:sz="4" w:space="0" w:color="auto"/>
              <w:right w:val="single" w:sz="4" w:space="0" w:color="auto"/>
            </w:tcBorders>
            <w:shd w:val="clear" w:color="000000" w:fill="BDD7EE"/>
            <w:noWrap/>
            <w:vAlign w:val="bottom"/>
            <w:hideMark/>
          </w:tcPr>
          <w:p w14:paraId="0F01CC51"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18 - 64</w:t>
            </w:r>
          </w:p>
        </w:tc>
        <w:tc>
          <w:tcPr>
            <w:tcW w:w="960" w:type="dxa"/>
            <w:tcBorders>
              <w:top w:val="nil"/>
              <w:left w:val="nil"/>
              <w:bottom w:val="single" w:sz="4" w:space="0" w:color="auto"/>
              <w:right w:val="single" w:sz="4" w:space="0" w:color="auto"/>
            </w:tcBorders>
            <w:shd w:val="clear" w:color="auto" w:fill="auto"/>
            <w:noWrap/>
            <w:vAlign w:val="bottom"/>
            <w:hideMark/>
          </w:tcPr>
          <w:p w14:paraId="5307EF87"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282</w:t>
            </w:r>
          </w:p>
        </w:tc>
        <w:tc>
          <w:tcPr>
            <w:tcW w:w="960" w:type="dxa"/>
            <w:tcBorders>
              <w:top w:val="nil"/>
              <w:left w:val="nil"/>
              <w:bottom w:val="single" w:sz="4" w:space="0" w:color="auto"/>
              <w:right w:val="single" w:sz="4" w:space="0" w:color="auto"/>
            </w:tcBorders>
            <w:shd w:val="clear" w:color="auto" w:fill="auto"/>
            <w:noWrap/>
            <w:vAlign w:val="bottom"/>
            <w:hideMark/>
          </w:tcPr>
          <w:p w14:paraId="727CFF68"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292</w:t>
            </w:r>
          </w:p>
        </w:tc>
      </w:tr>
      <w:tr w:rsidR="00D666B5" w:rsidRPr="00902009" w14:paraId="6052A9DA" w14:textId="77777777" w:rsidTr="00D666B5">
        <w:trPr>
          <w:trHeight w:val="300"/>
        </w:trPr>
        <w:tc>
          <w:tcPr>
            <w:tcW w:w="1100" w:type="dxa"/>
            <w:tcBorders>
              <w:top w:val="nil"/>
              <w:left w:val="single" w:sz="4" w:space="0" w:color="auto"/>
              <w:bottom w:val="single" w:sz="4" w:space="0" w:color="auto"/>
              <w:right w:val="single" w:sz="4" w:space="0" w:color="auto"/>
            </w:tcBorders>
            <w:shd w:val="clear" w:color="000000" w:fill="BDD7EE"/>
            <w:noWrap/>
            <w:vAlign w:val="bottom"/>
            <w:hideMark/>
          </w:tcPr>
          <w:p w14:paraId="1F1458FD"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65 +</w:t>
            </w:r>
          </w:p>
        </w:tc>
        <w:tc>
          <w:tcPr>
            <w:tcW w:w="960" w:type="dxa"/>
            <w:tcBorders>
              <w:top w:val="nil"/>
              <w:left w:val="nil"/>
              <w:bottom w:val="single" w:sz="4" w:space="0" w:color="auto"/>
              <w:right w:val="single" w:sz="4" w:space="0" w:color="auto"/>
            </w:tcBorders>
            <w:shd w:val="clear" w:color="auto" w:fill="auto"/>
            <w:noWrap/>
            <w:vAlign w:val="bottom"/>
            <w:hideMark/>
          </w:tcPr>
          <w:p w14:paraId="6AA6B2AE"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14:paraId="1821B613"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18</w:t>
            </w:r>
          </w:p>
        </w:tc>
      </w:tr>
      <w:tr w:rsidR="00D666B5" w:rsidRPr="00902009" w14:paraId="6C988B61" w14:textId="77777777" w:rsidTr="00D666B5">
        <w:trPr>
          <w:trHeight w:val="300"/>
        </w:trPr>
        <w:tc>
          <w:tcPr>
            <w:tcW w:w="1100" w:type="dxa"/>
            <w:tcBorders>
              <w:top w:val="nil"/>
              <w:left w:val="single" w:sz="4" w:space="0" w:color="auto"/>
              <w:bottom w:val="single" w:sz="4" w:space="0" w:color="auto"/>
              <w:right w:val="single" w:sz="4" w:space="0" w:color="auto"/>
            </w:tcBorders>
            <w:shd w:val="clear" w:color="000000" w:fill="BDD7EE"/>
            <w:noWrap/>
            <w:vAlign w:val="bottom"/>
            <w:hideMark/>
          </w:tcPr>
          <w:p w14:paraId="5E4AFDD0" w14:textId="77777777" w:rsidR="00D666B5" w:rsidRPr="00902009" w:rsidRDefault="00D666B5" w:rsidP="00D666B5">
            <w:pPr>
              <w:spacing w:after="0" w:line="240" w:lineRule="auto"/>
              <w:rPr>
                <w:rFonts w:eastAsia="Times New Roman" w:cs="Times New Roman"/>
                <w:color w:val="000000"/>
              </w:rPr>
            </w:pPr>
            <w:r w:rsidRPr="00902009">
              <w:rPr>
                <w:rFonts w:eastAsia="Times New Roman" w:cs="Times New Roman"/>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7DF80ACC"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563</w:t>
            </w:r>
          </w:p>
        </w:tc>
        <w:tc>
          <w:tcPr>
            <w:tcW w:w="960" w:type="dxa"/>
            <w:tcBorders>
              <w:top w:val="nil"/>
              <w:left w:val="nil"/>
              <w:bottom w:val="single" w:sz="4" w:space="0" w:color="auto"/>
              <w:right w:val="single" w:sz="4" w:space="0" w:color="auto"/>
            </w:tcBorders>
            <w:shd w:val="clear" w:color="auto" w:fill="auto"/>
            <w:noWrap/>
            <w:vAlign w:val="bottom"/>
            <w:hideMark/>
          </w:tcPr>
          <w:p w14:paraId="2FC32614" w14:textId="77777777" w:rsidR="00D666B5" w:rsidRPr="00902009" w:rsidRDefault="00D666B5" w:rsidP="00D666B5">
            <w:pPr>
              <w:spacing w:after="0" w:line="240" w:lineRule="auto"/>
              <w:jc w:val="center"/>
              <w:rPr>
                <w:rFonts w:eastAsia="Times New Roman" w:cs="Times New Roman"/>
                <w:color w:val="000000"/>
              </w:rPr>
            </w:pPr>
            <w:r w:rsidRPr="00902009">
              <w:rPr>
                <w:rFonts w:eastAsia="Times New Roman" w:cs="Times New Roman"/>
                <w:color w:val="000000"/>
              </w:rPr>
              <w:t>438</w:t>
            </w:r>
          </w:p>
        </w:tc>
      </w:tr>
    </w:tbl>
    <w:p w14:paraId="3327F855" w14:textId="77777777" w:rsidR="00D666B5" w:rsidRPr="00902009" w:rsidRDefault="00D666B5" w:rsidP="00D666B5">
      <w:r w:rsidRPr="00902009">
        <w:t>Source: US Census 1990, 2000</w:t>
      </w:r>
    </w:p>
    <w:p w14:paraId="1F6EA488" w14:textId="77777777" w:rsidR="00885ACB" w:rsidRPr="00885ACB" w:rsidRDefault="00885ACB" w:rsidP="00885ACB">
      <w:pPr>
        <w:spacing w:after="0" w:line="280" w:lineRule="atLeast"/>
        <w:jc w:val="both"/>
        <w:rPr>
          <w:b/>
        </w:rPr>
      </w:pPr>
    </w:p>
    <w:p w14:paraId="72AAAC1A" w14:textId="77777777" w:rsidR="00885ACB" w:rsidRDefault="002E1FEA" w:rsidP="00EF449A">
      <w:pPr>
        <w:pStyle w:val="Heading2"/>
      </w:pPr>
      <w:bookmarkStart w:id="85" w:name="_Toc383700006"/>
      <w:r>
        <w:t xml:space="preserve">D. </w:t>
      </w:r>
      <w:r w:rsidR="00885ACB" w:rsidRPr="00885ACB">
        <w:t>HOUSING STOCK CHARACTERISTICS</w:t>
      </w:r>
      <w:bookmarkEnd w:id="85"/>
    </w:p>
    <w:p w14:paraId="18995237" w14:textId="77777777" w:rsidR="00885ACB" w:rsidRPr="00885ACB" w:rsidRDefault="002E1FEA" w:rsidP="00EF449A">
      <w:pPr>
        <w:pStyle w:val="Heading3"/>
      </w:pPr>
      <w:bookmarkStart w:id="86" w:name="_Toc383700007"/>
      <w:r>
        <w:t xml:space="preserve">a. </w:t>
      </w:r>
      <w:r w:rsidR="00885ACB" w:rsidRPr="00885ACB">
        <w:t>HOUSING TYPES</w:t>
      </w:r>
      <w:bookmarkEnd w:id="86"/>
      <w:r w:rsidR="00885ACB" w:rsidRPr="00885ACB">
        <w:fldChar w:fldCharType="begin"/>
      </w:r>
      <w:r w:rsidR="00885ACB" w:rsidRPr="00885ACB">
        <w:instrText xml:space="preserve"> TC"</w:instrText>
      </w:r>
      <w:bookmarkStart w:id="87" w:name="_Toc53806459"/>
      <w:bookmarkStart w:id="88" w:name="_Toc66156051"/>
      <w:bookmarkStart w:id="89" w:name="_Toc76443971"/>
      <w:bookmarkStart w:id="90" w:name="_Toc123887101"/>
      <w:r w:rsidR="00885ACB" w:rsidRPr="00885ACB">
        <w:instrText>Housing Types</w:instrText>
      </w:r>
      <w:bookmarkEnd w:id="87"/>
      <w:bookmarkEnd w:id="88"/>
      <w:bookmarkEnd w:id="89"/>
      <w:bookmarkEnd w:id="90"/>
      <w:r w:rsidR="00885ACB" w:rsidRPr="00885ACB">
        <w:instrText xml:space="preserve">"\l 3 </w:instrText>
      </w:r>
      <w:r w:rsidR="00885ACB" w:rsidRPr="00885ACB">
        <w:fldChar w:fldCharType="end"/>
      </w:r>
    </w:p>
    <w:p w14:paraId="4CF3C9B1" w14:textId="77777777" w:rsidR="00885ACB" w:rsidRDefault="00885ACB" w:rsidP="00885ACB">
      <w:pPr>
        <w:spacing w:after="0" w:line="280" w:lineRule="atLeast"/>
        <w:jc w:val="both"/>
      </w:pPr>
      <w:r w:rsidRPr="00885ACB">
        <w:t xml:space="preserve">Housing in unincorporated Mono County is predominantly single-family detached units and mobile homes. Since 1990, all types of housing in the unincorporated area increased (Table 14). During that period, multifamily units had the greatest percentage increase, although a majority of that increase occurred from 1990-2000 and the rate has slowed considerably in the last decade. </w:t>
      </w:r>
    </w:p>
    <w:p w14:paraId="3F8D709B" w14:textId="77777777" w:rsidR="00885ACB" w:rsidRDefault="00885ACB" w:rsidP="00885ACB">
      <w:pPr>
        <w:spacing w:after="0" w:line="280" w:lineRule="atLeast"/>
        <w:jc w:val="both"/>
      </w:pPr>
    </w:p>
    <w:p w14:paraId="3025B3F7" w14:textId="77777777" w:rsidR="000064BC" w:rsidRPr="00B42807" w:rsidRDefault="000064BC" w:rsidP="000064BC">
      <w:r w:rsidRPr="00B42807">
        <w:t>Table 14, Housing Units by Type, Unincorporated Mono County, 1990-2010</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7"/>
        <w:gridCol w:w="1170"/>
        <w:gridCol w:w="1170"/>
        <w:gridCol w:w="1080"/>
        <w:gridCol w:w="990"/>
        <w:gridCol w:w="1080"/>
        <w:gridCol w:w="1170"/>
        <w:gridCol w:w="990"/>
      </w:tblGrid>
      <w:tr w:rsidR="000064BC" w:rsidRPr="00B42807" w14:paraId="369D8106" w14:textId="77777777" w:rsidTr="000064BC">
        <w:trPr>
          <w:trHeight w:val="891"/>
        </w:trPr>
        <w:tc>
          <w:tcPr>
            <w:tcW w:w="1777" w:type="dxa"/>
            <w:tcBorders>
              <w:bottom w:val="nil"/>
            </w:tcBorders>
            <w:shd w:val="clear" w:color="auto" w:fill="E6E6E6"/>
          </w:tcPr>
          <w:p w14:paraId="3175D36A" w14:textId="77777777" w:rsidR="000064BC" w:rsidRPr="00B42807" w:rsidRDefault="000064BC" w:rsidP="000064BC">
            <w:pPr>
              <w:spacing w:line="280" w:lineRule="atLeast"/>
              <w:ind w:left="-108" w:right="-108"/>
              <w:jc w:val="center"/>
              <w:rPr>
                <w:b/>
              </w:rPr>
            </w:pPr>
            <w:r w:rsidRPr="00B42807">
              <w:rPr>
                <w:b/>
              </w:rPr>
              <w:t>Housing</w:t>
            </w:r>
          </w:p>
        </w:tc>
        <w:tc>
          <w:tcPr>
            <w:tcW w:w="2340" w:type="dxa"/>
            <w:gridSpan w:val="2"/>
            <w:shd w:val="clear" w:color="auto" w:fill="E6E6E6"/>
          </w:tcPr>
          <w:p w14:paraId="103C4454" w14:textId="77777777" w:rsidR="000064BC" w:rsidRPr="00B42807" w:rsidRDefault="000064BC" w:rsidP="000064BC">
            <w:pPr>
              <w:spacing w:line="280" w:lineRule="atLeast"/>
              <w:jc w:val="center"/>
              <w:rPr>
                <w:b/>
              </w:rPr>
            </w:pPr>
            <w:r w:rsidRPr="00B42807">
              <w:rPr>
                <w:b/>
              </w:rPr>
              <w:t>1990</w:t>
            </w:r>
          </w:p>
        </w:tc>
        <w:tc>
          <w:tcPr>
            <w:tcW w:w="2070" w:type="dxa"/>
            <w:gridSpan w:val="2"/>
            <w:shd w:val="clear" w:color="auto" w:fill="E6E6E6"/>
          </w:tcPr>
          <w:p w14:paraId="7316148B" w14:textId="77777777" w:rsidR="000064BC" w:rsidRPr="00B42807" w:rsidRDefault="000064BC" w:rsidP="000064BC">
            <w:pPr>
              <w:spacing w:line="280" w:lineRule="atLeast"/>
              <w:jc w:val="center"/>
              <w:rPr>
                <w:b/>
              </w:rPr>
            </w:pPr>
            <w:r w:rsidRPr="00B42807">
              <w:rPr>
                <w:b/>
              </w:rPr>
              <w:t>2000</w:t>
            </w:r>
          </w:p>
        </w:tc>
        <w:tc>
          <w:tcPr>
            <w:tcW w:w="2250" w:type="dxa"/>
            <w:gridSpan w:val="2"/>
            <w:shd w:val="clear" w:color="auto" w:fill="E6E6E6"/>
          </w:tcPr>
          <w:p w14:paraId="311F0405" w14:textId="77777777" w:rsidR="000064BC" w:rsidRPr="00B42807" w:rsidRDefault="000064BC" w:rsidP="000064BC">
            <w:pPr>
              <w:spacing w:line="280" w:lineRule="atLeast"/>
              <w:jc w:val="center"/>
              <w:rPr>
                <w:b/>
              </w:rPr>
            </w:pPr>
            <w:r w:rsidRPr="00B42807">
              <w:rPr>
                <w:b/>
              </w:rPr>
              <w:t>2010</w:t>
            </w:r>
          </w:p>
        </w:tc>
        <w:tc>
          <w:tcPr>
            <w:tcW w:w="990" w:type="dxa"/>
            <w:shd w:val="clear" w:color="auto" w:fill="E6E6E6"/>
          </w:tcPr>
          <w:p w14:paraId="0DEA0079" w14:textId="77777777" w:rsidR="000064BC" w:rsidRPr="00B42807" w:rsidRDefault="000064BC" w:rsidP="000064BC">
            <w:pPr>
              <w:spacing w:line="280" w:lineRule="atLeast"/>
              <w:jc w:val="center"/>
              <w:rPr>
                <w:b/>
              </w:rPr>
            </w:pPr>
            <w:r w:rsidRPr="00B42807">
              <w:rPr>
                <w:b/>
              </w:rPr>
              <w:t>1990-2010</w:t>
            </w:r>
          </w:p>
          <w:p w14:paraId="6520CE76" w14:textId="77777777" w:rsidR="000064BC" w:rsidRPr="00B42807" w:rsidRDefault="000064BC" w:rsidP="000064BC">
            <w:pPr>
              <w:spacing w:line="280" w:lineRule="atLeast"/>
              <w:jc w:val="center"/>
              <w:rPr>
                <w:b/>
              </w:rPr>
            </w:pPr>
            <w:r w:rsidRPr="00B42807">
              <w:rPr>
                <w:b/>
              </w:rPr>
              <w:t>% Change</w:t>
            </w:r>
          </w:p>
        </w:tc>
      </w:tr>
      <w:tr w:rsidR="000064BC" w:rsidRPr="00B42807" w14:paraId="56F3E84A" w14:textId="77777777" w:rsidTr="000064BC">
        <w:trPr>
          <w:trHeight w:val="445"/>
        </w:trPr>
        <w:tc>
          <w:tcPr>
            <w:tcW w:w="1777" w:type="dxa"/>
            <w:tcBorders>
              <w:top w:val="nil"/>
            </w:tcBorders>
            <w:shd w:val="clear" w:color="auto" w:fill="E6E6E6"/>
          </w:tcPr>
          <w:p w14:paraId="536B9C32" w14:textId="77777777" w:rsidR="000064BC" w:rsidRPr="00B42807" w:rsidRDefault="000064BC" w:rsidP="000064BC">
            <w:pPr>
              <w:spacing w:line="280" w:lineRule="atLeast"/>
              <w:ind w:right="-108" w:hanging="108"/>
              <w:jc w:val="center"/>
              <w:rPr>
                <w:b/>
              </w:rPr>
            </w:pPr>
            <w:r w:rsidRPr="00B42807">
              <w:rPr>
                <w:b/>
              </w:rPr>
              <w:t>Unit Type</w:t>
            </w:r>
          </w:p>
        </w:tc>
        <w:tc>
          <w:tcPr>
            <w:tcW w:w="1170" w:type="dxa"/>
            <w:shd w:val="clear" w:color="auto" w:fill="E6E6E6"/>
          </w:tcPr>
          <w:p w14:paraId="6253FBE9" w14:textId="77777777" w:rsidR="000064BC" w:rsidRPr="00B42807" w:rsidRDefault="000064BC" w:rsidP="000064BC">
            <w:pPr>
              <w:spacing w:line="280" w:lineRule="atLeast"/>
              <w:jc w:val="center"/>
              <w:rPr>
                <w:b/>
              </w:rPr>
            </w:pPr>
            <w:r w:rsidRPr="00B42807">
              <w:rPr>
                <w:b/>
              </w:rPr>
              <w:t>Number</w:t>
            </w:r>
          </w:p>
        </w:tc>
        <w:tc>
          <w:tcPr>
            <w:tcW w:w="1170" w:type="dxa"/>
            <w:shd w:val="clear" w:color="auto" w:fill="E6E6E6"/>
          </w:tcPr>
          <w:p w14:paraId="4AF3FA01" w14:textId="77777777" w:rsidR="000064BC" w:rsidRPr="00B42807" w:rsidRDefault="000064BC" w:rsidP="000064BC">
            <w:pPr>
              <w:spacing w:line="280" w:lineRule="atLeast"/>
              <w:jc w:val="center"/>
              <w:rPr>
                <w:b/>
              </w:rPr>
            </w:pPr>
            <w:r w:rsidRPr="00B42807">
              <w:rPr>
                <w:b/>
              </w:rPr>
              <w:t>Percent</w:t>
            </w:r>
          </w:p>
        </w:tc>
        <w:tc>
          <w:tcPr>
            <w:tcW w:w="1080" w:type="dxa"/>
            <w:shd w:val="clear" w:color="auto" w:fill="E6E6E6"/>
          </w:tcPr>
          <w:p w14:paraId="0CCAC279" w14:textId="77777777" w:rsidR="000064BC" w:rsidRPr="00B42807" w:rsidRDefault="000064BC" w:rsidP="000064BC">
            <w:pPr>
              <w:spacing w:line="280" w:lineRule="atLeast"/>
              <w:jc w:val="center"/>
              <w:rPr>
                <w:b/>
              </w:rPr>
            </w:pPr>
            <w:r w:rsidRPr="00B42807">
              <w:rPr>
                <w:b/>
              </w:rPr>
              <w:t>Number</w:t>
            </w:r>
          </w:p>
        </w:tc>
        <w:tc>
          <w:tcPr>
            <w:tcW w:w="990" w:type="dxa"/>
            <w:shd w:val="clear" w:color="auto" w:fill="E6E6E6"/>
          </w:tcPr>
          <w:p w14:paraId="599341B8" w14:textId="77777777" w:rsidR="000064BC" w:rsidRPr="00B42807" w:rsidRDefault="000064BC" w:rsidP="000064BC">
            <w:pPr>
              <w:spacing w:line="280" w:lineRule="atLeast"/>
              <w:jc w:val="center"/>
              <w:rPr>
                <w:b/>
              </w:rPr>
            </w:pPr>
            <w:r w:rsidRPr="00B42807">
              <w:rPr>
                <w:b/>
              </w:rPr>
              <w:t>Percent</w:t>
            </w:r>
          </w:p>
        </w:tc>
        <w:tc>
          <w:tcPr>
            <w:tcW w:w="1080" w:type="dxa"/>
            <w:shd w:val="clear" w:color="auto" w:fill="E6E6E6"/>
          </w:tcPr>
          <w:p w14:paraId="014D1EAB" w14:textId="77777777" w:rsidR="000064BC" w:rsidRPr="00B42807" w:rsidRDefault="000064BC" w:rsidP="000064BC">
            <w:pPr>
              <w:spacing w:line="280" w:lineRule="atLeast"/>
              <w:jc w:val="center"/>
              <w:rPr>
                <w:b/>
              </w:rPr>
            </w:pPr>
            <w:r w:rsidRPr="00B42807">
              <w:rPr>
                <w:b/>
              </w:rPr>
              <w:t>Number</w:t>
            </w:r>
          </w:p>
        </w:tc>
        <w:tc>
          <w:tcPr>
            <w:tcW w:w="1170" w:type="dxa"/>
            <w:shd w:val="clear" w:color="auto" w:fill="E6E6E6"/>
          </w:tcPr>
          <w:p w14:paraId="069E2C0A" w14:textId="77777777" w:rsidR="000064BC" w:rsidRPr="00B42807" w:rsidRDefault="000064BC" w:rsidP="000064BC">
            <w:pPr>
              <w:spacing w:line="280" w:lineRule="atLeast"/>
              <w:jc w:val="center"/>
              <w:rPr>
                <w:b/>
              </w:rPr>
            </w:pPr>
            <w:r w:rsidRPr="00B42807">
              <w:rPr>
                <w:b/>
              </w:rPr>
              <w:t>Percent</w:t>
            </w:r>
          </w:p>
        </w:tc>
        <w:tc>
          <w:tcPr>
            <w:tcW w:w="990" w:type="dxa"/>
            <w:shd w:val="clear" w:color="auto" w:fill="E6E6E6"/>
          </w:tcPr>
          <w:p w14:paraId="7D0C2BA9" w14:textId="77777777" w:rsidR="000064BC" w:rsidRPr="00B42807" w:rsidRDefault="000064BC" w:rsidP="000064BC">
            <w:pPr>
              <w:spacing w:line="280" w:lineRule="atLeast"/>
              <w:jc w:val="center"/>
              <w:rPr>
                <w:b/>
              </w:rPr>
            </w:pPr>
          </w:p>
        </w:tc>
      </w:tr>
      <w:tr w:rsidR="000064BC" w:rsidRPr="00B42807" w14:paraId="31FE8741" w14:textId="77777777" w:rsidTr="000064BC">
        <w:trPr>
          <w:trHeight w:val="445"/>
        </w:trPr>
        <w:tc>
          <w:tcPr>
            <w:tcW w:w="1777" w:type="dxa"/>
          </w:tcPr>
          <w:p w14:paraId="66233D11" w14:textId="77777777" w:rsidR="000064BC" w:rsidRPr="00B42807" w:rsidRDefault="000064BC" w:rsidP="000064BC">
            <w:pPr>
              <w:spacing w:line="280" w:lineRule="atLeast"/>
              <w:jc w:val="center"/>
            </w:pPr>
            <w:r w:rsidRPr="00B42807">
              <w:t>Single-family-Detached</w:t>
            </w:r>
          </w:p>
        </w:tc>
        <w:tc>
          <w:tcPr>
            <w:tcW w:w="1170" w:type="dxa"/>
          </w:tcPr>
          <w:p w14:paraId="70EA9B60" w14:textId="77777777" w:rsidR="000064BC" w:rsidRPr="00B42807" w:rsidRDefault="000064BC" w:rsidP="000064BC">
            <w:pPr>
              <w:spacing w:line="280" w:lineRule="atLeast"/>
              <w:jc w:val="center"/>
            </w:pPr>
            <w:r w:rsidRPr="00B42807">
              <w:t>2,267</w:t>
            </w:r>
          </w:p>
        </w:tc>
        <w:tc>
          <w:tcPr>
            <w:tcW w:w="1170" w:type="dxa"/>
          </w:tcPr>
          <w:p w14:paraId="7357A8C9" w14:textId="77777777" w:rsidR="000064BC" w:rsidRPr="00B42807" w:rsidRDefault="000064BC" w:rsidP="000064BC">
            <w:pPr>
              <w:spacing w:line="280" w:lineRule="atLeast"/>
              <w:jc w:val="center"/>
            </w:pPr>
            <w:r w:rsidRPr="00B42807">
              <w:t>63.7%</w:t>
            </w:r>
          </w:p>
        </w:tc>
        <w:tc>
          <w:tcPr>
            <w:tcW w:w="1080" w:type="dxa"/>
          </w:tcPr>
          <w:p w14:paraId="04F30B0E" w14:textId="77777777" w:rsidR="000064BC" w:rsidRPr="00B42807" w:rsidRDefault="000064BC" w:rsidP="000064BC">
            <w:pPr>
              <w:spacing w:line="280" w:lineRule="atLeast"/>
              <w:jc w:val="center"/>
            </w:pPr>
            <w:r w:rsidRPr="00B42807">
              <w:t>2,468</w:t>
            </w:r>
          </w:p>
        </w:tc>
        <w:tc>
          <w:tcPr>
            <w:tcW w:w="990" w:type="dxa"/>
          </w:tcPr>
          <w:p w14:paraId="7AFBB814" w14:textId="77777777" w:rsidR="000064BC" w:rsidRPr="00B42807" w:rsidRDefault="000064BC" w:rsidP="000064BC">
            <w:pPr>
              <w:spacing w:line="280" w:lineRule="atLeast"/>
              <w:jc w:val="center"/>
            </w:pPr>
            <w:r w:rsidRPr="00B42807">
              <w:t>65.1%</w:t>
            </w:r>
          </w:p>
        </w:tc>
        <w:tc>
          <w:tcPr>
            <w:tcW w:w="1080" w:type="dxa"/>
          </w:tcPr>
          <w:p w14:paraId="25D1C69C" w14:textId="77777777" w:rsidR="000064BC" w:rsidRPr="00B42807" w:rsidRDefault="000064BC" w:rsidP="000064BC">
            <w:pPr>
              <w:spacing w:line="280" w:lineRule="atLeast"/>
              <w:jc w:val="center"/>
            </w:pPr>
            <w:r w:rsidRPr="00B42807">
              <w:t>2,969</w:t>
            </w:r>
          </w:p>
        </w:tc>
        <w:tc>
          <w:tcPr>
            <w:tcW w:w="1170" w:type="dxa"/>
          </w:tcPr>
          <w:p w14:paraId="7BBD2583" w14:textId="77777777" w:rsidR="000064BC" w:rsidRPr="00B42807" w:rsidRDefault="000064BC" w:rsidP="000064BC">
            <w:pPr>
              <w:spacing w:line="280" w:lineRule="atLeast"/>
              <w:jc w:val="center"/>
            </w:pPr>
            <w:r w:rsidRPr="00B42807">
              <w:t>69.3%</w:t>
            </w:r>
          </w:p>
        </w:tc>
        <w:tc>
          <w:tcPr>
            <w:tcW w:w="990" w:type="dxa"/>
          </w:tcPr>
          <w:p w14:paraId="22550070" w14:textId="77777777" w:rsidR="000064BC" w:rsidRPr="00B42807" w:rsidRDefault="000064BC" w:rsidP="000064BC">
            <w:pPr>
              <w:spacing w:line="280" w:lineRule="atLeast"/>
              <w:jc w:val="center"/>
            </w:pPr>
            <w:r w:rsidRPr="00B42807">
              <w:t>+23.6%</w:t>
            </w:r>
          </w:p>
        </w:tc>
      </w:tr>
      <w:tr w:rsidR="000064BC" w:rsidRPr="00B42807" w14:paraId="29C3654F" w14:textId="77777777" w:rsidTr="000064BC">
        <w:trPr>
          <w:trHeight w:val="445"/>
        </w:trPr>
        <w:tc>
          <w:tcPr>
            <w:tcW w:w="1777" w:type="dxa"/>
          </w:tcPr>
          <w:p w14:paraId="0C9795CB" w14:textId="77777777" w:rsidR="000064BC" w:rsidRPr="00B42807" w:rsidRDefault="000064BC" w:rsidP="000064BC">
            <w:pPr>
              <w:spacing w:line="280" w:lineRule="atLeast"/>
              <w:jc w:val="center"/>
            </w:pPr>
            <w:r w:rsidRPr="00B42807">
              <w:t>Single-family-Attached</w:t>
            </w:r>
          </w:p>
        </w:tc>
        <w:tc>
          <w:tcPr>
            <w:tcW w:w="1170" w:type="dxa"/>
          </w:tcPr>
          <w:p w14:paraId="2E5A43AC" w14:textId="77777777" w:rsidR="000064BC" w:rsidRPr="00B42807" w:rsidRDefault="000064BC" w:rsidP="000064BC">
            <w:pPr>
              <w:spacing w:line="280" w:lineRule="atLeast"/>
              <w:jc w:val="center"/>
            </w:pPr>
            <w:r w:rsidRPr="00B42807">
              <w:t>214</w:t>
            </w:r>
          </w:p>
        </w:tc>
        <w:tc>
          <w:tcPr>
            <w:tcW w:w="1170" w:type="dxa"/>
          </w:tcPr>
          <w:p w14:paraId="57E2D66E" w14:textId="77777777" w:rsidR="000064BC" w:rsidRPr="00B42807" w:rsidRDefault="000064BC" w:rsidP="000064BC">
            <w:pPr>
              <w:spacing w:line="280" w:lineRule="atLeast"/>
              <w:jc w:val="center"/>
            </w:pPr>
            <w:r w:rsidRPr="00B42807">
              <w:t>6.0%</w:t>
            </w:r>
          </w:p>
        </w:tc>
        <w:tc>
          <w:tcPr>
            <w:tcW w:w="1080" w:type="dxa"/>
          </w:tcPr>
          <w:p w14:paraId="34491599" w14:textId="77777777" w:rsidR="000064BC" w:rsidRPr="00B42807" w:rsidRDefault="000064BC" w:rsidP="000064BC">
            <w:pPr>
              <w:spacing w:line="280" w:lineRule="atLeast"/>
              <w:jc w:val="center"/>
            </w:pPr>
            <w:r w:rsidRPr="00B42807">
              <w:t>210</w:t>
            </w:r>
          </w:p>
        </w:tc>
        <w:tc>
          <w:tcPr>
            <w:tcW w:w="990" w:type="dxa"/>
          </w:tcPr>
          <w:p w14:paraId="72CE6E0A" w14:textId="77777777" w:rsidR="000064BC" w:rsidRPr="00B42807" w:rsidRDefault="000064BC" w:rsidP="000064BC">
            <w:pPr>
              <w:spacing w:line="280" w:lineRule="atLeast"/>
              <w:jc w:val="center"/>
            </w:pPr>
            <w:r w:rsidRPr="00B42807">
              <w:t>5.5%</w:t>
            </w:r>
          </w:p>
        </w:tc>
        <w:tc>
          <w:tcPr>
            <w:tcW w:w="1080" w:type="dxa"/>
          </w:tcPr>
          <w:p w14:paraId="74605F34" w14:textId="77777777" w:rsidR="000064BC" w:rsidRPr="00776763" w:rsidRDefault="00504894" w:rsidP="000064BC">
            <w:pPr>
              <w:spacing w:line="280" w:lineRule="atLeast"/>
              <w:jc w:val="center"/>
            </w:pPr>
            <w:r w:rsidRPr="00776763">
              <w:t>u</w:t>
            </w:r>
          </w:p>
        </w:tc>
        <w:tc>
          <w:tcPr>
            <w:tcW w:w="1170" w:type="dxa"/>
          </w:tcPr>
          <w:p w14:paraId="30314B8C" w14:textId="77777777" w:rsidR="000064BC" w:rsidRPr="00776763" w:rsidRDefault="00504894" w:rsidP="000064BC">
            <w:pPr>
              <w:spacing w:line="280" w:lineRule="atLeast"/>
              <w:jc w:val="center"/>
            </w:pPr>
            <w:r w:rsidRPr="00776763">
              <w:t>u</w:t>
            </w:r>
          </w:p>
        </w:tc>
        <w:tc>
          <w:tcPr>
            <w:tcW w:w="990" w:type="dxa"/>
          </w:tcPr>
          <w:p w14:paraId="6E2C04DC" w14:textId="77777777" w:rsidR="000064BC" w:rsidRPr="00B42807" w:rsidRDefault="000064BC" w:rsidP="000064BC">
            <w:pPr>
              <w:spacing w:line="280" w:lineRule="atLeast"/>
              <w:jc w:val="center"/>
            </w:pPr>
          </w:p>
        </w:tc>
      </w:tr>
      <w:tr w:rsidR="000064BC" w:rsidRPr="00B42807" w14:paraId="6FA81DD5" w14:textId="77777777" w:rsidTr="000064BC">
        <w:trPr>
          <w:trHeight w:val="445"/>
        </w:trPr>
        <w:tc>
          <w:tcPr>
            <w:tcW w:w="1777" w:type="dxa"/>
          </w:tcPr>
          <w:p w14:paraId="48124511" w14:textId="77777777" w:rsidR="000064BC" w:rsidRPr="00B42807" w:rsidRDefault="000064BC" w:rsidP="000064BC">
            <w:pPr>
              <w:spacing w:line="280" w:lineRule="atLeast"/>
              <w:jc w:val="center"/>
            </w:pPr>
            <w:r w:rsidRPr="00B42807">
              <w:t>2-4 units</w:t>
            </w:r>
          </w:p>
        </w:tc>
        <w:tc>
          <w:tcPr>
            <w:tcW w:w="1170" w:type="dxa"/>
          </w:tcPr>
          <w:p w14:paraId="7FF06DF2" w14:textId="77777777" w:rsidR="000064BC" w:rsidRPr="00B42807" w:rsidRDefault="000064BC" w:rsidP="000064BC">
            <w:pPr>
              <w:spacing w:line="280" w:lineRule="atLeast"/>
              <w:jc w:val="center"/>
            </w:pPr>
            <w:r w:rsidRPr="00B42807">
              <w:t>176</w:t>
            </w:r>
          </w:p>
        </w:tc>
        <w:tc>
          <w:tcPr>
            <w:tcW w:w="1170" w:type="dxa"/>
          </w:tcPr>
          <w:p w14:paraId="45B6D5C6" w14:textId="77777777" w:rsidR="000064BC" w:rsidRPr="00B42807" w:rsidRDefault="000064BC" w:rsidP="000064BC">
            <w:pPr>
              <w:spacing w:line="280" w:lineRule="atLeast"/>
              <w:jc w:val="center"/>
            </w:pPr>
            <w:r w:rsidRPr="00B42807">
              <w:t>4.9%</w:t>
            </w:r>
          </w:p>
        </w:tc>
        <w:tc>
          <w:tcPr>
            <w:tcW w:w="1080" w:type="dxa"/>
          </w:tcPr>
          <w:p w14:paraId="1233E652" w14:textId="77777777" w:rsidR="000064BC" w:rsidRPr="00B42807" w:rsidRDefault="000064BC" w:rsidP="000064BC">
            <w:pPr>
              <w:spacing w:line="280" w:lineRule="atLeast"/>
              <w:jc w:val="center"/>
            </w:pPr>
            <w:r w:rsidRPr="00B42807">
              <w:t>296</w:t>
            </w:r>
          </w:p>
        </w:tc>
        <w:tc>
          <w:tcPr>
            <w:tcW w:w="990" w:type="dxa"/>
          </w:tcPr>
          <w:p w14:paraId="6C17A603" w14:textId="77777777" w:rsidR="000064BC" w:rsidRPr="00B42807" w:rsidRDefault="000064BC" w:rsidP="000064BC">
            <w:pPr>
              <w:spacing w:line="280" w:lineRule="atLeast"/>
              <w:jc w:val="center"/>
            </w:pPr>
            <w:r w:rsidRPr="00B42807">
              <w:t>7.8%</w:t>
            </w:r>
          </w:p>
        </w:tc>
        <w:tc>
          <w:tcPr>
            <w:tcW w:w="1080" w:type="dxa"/>
          </w:tcPr>
          <w:p w14:paraId="6248B334" w14:textId="77777777" w:rsidR="000064BC" w:rsidRPr="00776763" w:rsidRDefault="00504894" w:rsidP="000064BC">
            <w:pPr>
              <w:spacing w:line="280" w:lineRule="atLeast"/>
              <w:jc w:val="center"/>
            </w:pPr>
            <w:r w:rsidRPr="00776763">
              <w:t>u</w:t>
            </w:r>
          </w:p>
        </w:tc>
        <w:tc>
          <w:tcPr>
            <w:tcW w:w="1170" w:type="dxa"/>
          </w:tcPr>
          <w:p w14:paraId="1A0FC44F" w14:textId="77777777" w:rsidR="000064BC" w:rsidRPr="00776763" w:rsidRDefault="00504894" w:rsidP="000064BC">
            <w:pPr>
              <w:spacing w:line="280" w:lineRule="atLeast"/>
              <w:jc w:val="center"/>
            </w:pPr>
            <w:r w:rsidRPr="00776763">
              <w:t>u</w:t>
            </w:r>
          </w:p>
        </w:tc>
        <w:tc>
          <w:tcPr>
            <w:tcW w:w="990" w:type="dxa"/>
          </w:tcPr>
          <w:p w14:paraId="69EACC2F" w14:textId="77777777" w:rsidR="000064BC" w:rsidRPr="00B42807" w:rsidRDefault="000064BC" w:rsidP="000064BC">
            <w:pPr>
              <w:spacing w:line="280" w:lineRule="atLeast"/>
              <w:jc w:val="center"/>
            </w:pPr>
          </w:p>
        </w:tc>
      </w:tr>
      <w:tr w:rsidR="000064BC" w:rsidRPr="00B42807" w14:paraId="5F4ADDCF" w14:textId="77777777" w:rsidTr="000064BC">
        <w:trPr>
          <w:trHeight w:val="445"/>
        </w:trPr>
        <w:tc>
          <w:tcPr>
            <w:tcW w:w="1777" w:type="dxa"/>
          </w:tcPr>
          <w:p w14:paraId="1F8D70C3" w14:textId="77777777" w:rsidR="000064BC" w:rsidRPr="00B42807" w:rsidRDefault="000064BC" w:rsidP="000064BC">
            <w:pPr>
              <w:spacing w:line="280" w:lineRule="atLeast"/>
              <w:jc w:val="center"/>
            </w:pPr>
            <w:r w:rsidRPr="00B42807">
              <w:t>5 Plus Units</w:t>
            </w:r>
          </w:p>
        </w:tc>
        <w:tc>
          <w:tcPr>
            <w:tcW w:w="1170" w:type="dxa"/>
          </w:tcPr>
          <w:p w14:paraId="102BB066" w14:textId="77777777" w:rsidR="000064BC" w:rsidRPr="00B42807" w:rsidRDefault="000064BC" w:rsidP="000064BC">
            <w:pPr>
              <w:spacing w:line="280" w:lineRule="atLeast"/>
              <w:jc w:val="center"/>
            </w:pPr>
            <w:r w:rsidRPr="00B42807">
              <w:t>63</w:t>
            </w:r>
          </w:p>
        </w:tc>
        <w:tc>
          <w:tcPr>
            <w:tcW w:w="1170" w:type="dxa"/>
          </w:tcPr>
          <w:p w14:paraId="771AFE6F" w14:textId="77777777" w:rsidR="000064BC" w:rsidRPr="00B42807" w:rsidRDefault="000064BC" w:rsidP="000064BC">
            <w:pPr>
              <w:spacing w:line="280" w:lineRule="atLeast"/>
              <w:jc w:val="center"/>
            </w:pPr>
            <w:r w:rsidRPr="00B42807">
              <w:t>1.8%</w:t>
            </w:r>
          </w:p>
        </w:tc>
        <w:tc>
          <w:tcPr>
            <w:tcW w:w="1080" w:type="dxa"/>
          </w:tcPr>
          <w:p w14:paraId="619FF02B" w14:textId="77777777" w:rsidR="000064BC" w:rsidRPr="00B42807" w:rsidRDefault="000064BC" w:rsidP="000064BC">
            <w:pPr>
              <w:spacing w:line="280" w:lineRule="atLeast"/>
              <w:jc w:val="center"/>
            </w:pPr>
            <w:r w:rsidRPr="00B42807">
              <w:t>74</w:t>
            </w:r>
          </w:p>
        </w:tc>
        <w:tc>
          <w:tcPr>
            <w:tcW w:w="990" w:type="dxa"/>
          </w:tcPr>
          <w:p w14:paraId="4FCD8799" w14:textId="77777777" w:rsidR="000064BC" w:rsidRPr="00B42807" w:rsidRDefault="000064BC" w:rsidP="000064BC">
            <w:pPr>
              <w:spacing w:line="280" w:lineRule="atLeast"/>
              <w:jc w:val="center"/>
            </w:pPr>
            <w:r w:rsidRPr="00B42807">
              <w:t>2.0%</w:t>
            </w:r>
          </w:p>
        </w:tc>
        <w:tc>
          <w:tcPr>
            <w:tcW w:w="1080" w:type="dxa"/>
          </w:tcPr>
          <w:p w14:paraId="1AD7DA97" w14:textId="77777777" w:rsidR="000064BC" w:rsidRPr="00776763" w:rsidRDefault="00504894" w:rsidP="000064BC">
            <w:pPr>
              <w:spacing w:line="280" w:lineRule="atLeast"/>
              <w:jc w:val="center"/>
            </w:pPr>
            <w:r w:rsidRPr="00776763">
              <w:t>u</w:t>
            </w:r>
          </w:p>
        </w:tc>
        <w:tc>
          <w:tcPr>
            <w:tcW w:w="1170" w:type="dxa"/>
          </w:tcPr>
          <w:p w14:paraId="65E99CCF" w14:textId="77777777" w:rsidR="000064BC" w:rsidRPr="00776763" w:rsidRDefault="00504894" w:rsidP="000064BC">
            <w:pPr>
              <w:spacing w:line="280" w:lineRule="atLeast"/>
              <w:jc w:val="center"/>
            </w:pPr>
            <w:r w:rsidRPr="00776763">
              <w:t>u</w:t>
            </w:r>
          </w:p>
        </w:tc>
        <w:tc>
          <w:tcPr>
            <w:tcW w:w="990" w:type="dxa"/>
          </w:tcPr>
          <w:p w14:paraId="4E3195C1" w14:textId="77777777" w:rsidR="000064BC" w:rsidRPr="00B42807" w:rsidRDefault="000064BC" w:rsidP="000064BC">
            <w:pPr>
              <w:spacing w:line="280" w:lineRule="atLeast"/>
              <w:jc w:val="center"/>
            </w:pPr>
          </w:p>
        </w:tc>
      </w:tr>
      <w:tr w:rsidR="000064BC" w:rsidRPr="00B42807" w14:paraId="26FEC4DF" w14:textId="77777777" w:rsidTr="000064BC">
        <w:trPr>
          <w:trHeight w:val="445"/>
        </w:trPr>
        <w:tc>
          <w:tcPr>
            <w:tcW w:w="1777" w:type="dxa"/>
          </w:tcPr>
          <w:p w14:paraId="562C4017" w14:textId="77777777" w:rsidR="000064BC" w:rsidRPr="00B42807" w:rsidRDefault="000064BC" w:rsidP="000064BC">
            <w:pPr>
              <w:spacing w:line="280" w:lineRule="atLeast"/>
              <w:jc w:val="center"/>
            </w:pPr>
            <w:r w:rsidRPr="00B42807">
              <w:t>All Multi Units</w:t>
            </w:r>
          </w:p>
        </w:tc>
        <w:tc>
          <w:tcPr>
            <w:tcW w:w="1170" w:type="dxa"/>
          </w:tcPr>
          <w:p w14:paraId="7AA38FCA" w14:textId="77777777" w:rsidR="000064BC" w:rsidRPr="00B42807" w:rsidRDefault="000064BC" w:rsidP="000064BC">
            <w:pPr>
              <w:spacing w:line="280" w:lineRule="atLeast"/>
              <w:jc w:val="center"/>
            </w:pPr>
            <w:r w:rsidRPr="00B42807">
              <w:t>239</w:t>
            </w:r>
          </w:p>
        </w:tc>
        <w:tc>
          <w:tcPr>
            <w:tcW w:w="1170" w:type="dxa"/>
          </w:tcPr>
          <w:p w14:paraId="6FD025A0" w14:textId="77777777" w:rsidR="000064BC" w:rsidRPr="00B42807" w:rsidRDefault="000064BC" w:rsidP="000064BC">
            <w:pPr>
              <w:spacing w:line="280" w:lineRule="atLeast"/>
              <w:jc w:val="center"/>
            </w:pPr>
            <w:r w:rsidRPr="00B42807">
              <w:t>6.7%</w:t>
            </w:r>
          </w:p>
        </w:tc>
        <w:tc>
          <w:tcPr>
            <w:tcW w:w="1080" w:type="dxa"/>
          </w:tcPr>
          <w:p w14:paraId="1F406509" w14:textId="77777777" w:rsidR="000064BC" w:rsidRPr="00B42807" w:rsidRDefault="000064BC" w:rsidP="000064BC">
            <w:pPr>
              <w:spacing w:line="280" w:lineRule="atLeast"/>
              <w:jc w:val="center"/>
            </w:pPr>
            <w:r w:rsidRPr="00B42807">
              <w:t>370</w:t>
            </w:r>
          </w:p>
        </w:tc>
        <w:tc>
          <w:tcPr>
            <w:tcW w:w="990" w:type="dxa"/>
          </w:tcPr>
          <w:p w14:paraId="0470D221" w14:textId="77777777" w:rsidR="000064BC" w:rsidRPr="00B42807" w:rsidRDefault="000064BC" w:rsidP="000064BC">
            <w:pPr>
              <w:spacing w:line="280" w:lineRule="atLeast"/>
              <w:jc w:val="center"/>
            </w:pPr>
            <w:r w:rsidRPr="00B42807">
              <w:t>9.8%</w:t>
            </w:r>
          </w:p>
        </w:tc>
        <w:tc>
          <w:tcPr>
            <w:tcW w:w="1080" w:type="dxa"/>
          </w:tcPr>
          <w:p w14:paraId="7739F6E1" w14:textId="77777777" w:rsidR="000064BC" w:rsidRPr="00B42807" w:rsidRDefault="000064BC" w:rsidP="000064BC">
            <w:pPr>
              <w:spacing w:line="280" w:lineRule="atLeast"/>
              <w:jc w:val="center"/>
            </w:pPr>
            <w:r w:rsidRPr="00B42807">
              <w:t>405</w:t>
            </w:r>
          </w:p>
        </w:tc>
        <w:tc>
          <w:tcPr>
            <w:tcW w:w="1170" w:type="dxa"/>
          </w:tcPr>
          <w:p w14:paraId="05C10D1A" w14:textId="77777777" w:rsidR="000064BC" w:rsidRPr="00B42807" w:rsidRDefault="000064BC" w:rsidP="000064BC">
            <w:pPr>
              <w:spacing w:line="280" w:lineRule="atLeast"/>
              <w:jc w:val="center"/>
            </w:pPr>
            <w:r w:rsidRPr="00B42807">
              <w:t>9.4%</w:t>
            </w:r>
          </w:p>
        </w:tc>
        <w:tc>
          <w:tcPr>
            <w:tcW w:w="990" w:type="dxa"/>
          </w:tcPr>
          <w:p w14:paraId="5A205F8F" w14:textId="77777777" w:rsidR="000064BC" w:rsidRPr="00B42807" w:rsidRDefault="000064BC" w:rsidP="000064BC">
            <w:pPr>
              <w:spacing w:line="280" w:lineRule="atLeast"/>
              <w:jc w:val="center"/>
            </w:pPr>
            <w:r w:rsidRPr="00B42807">
              <w:t>+41%</w:t>
            </w:r>
          </w:p>
        </w:tc>
      </w:tr>
      <w:tr w:rsidR="000064BC" w:rsidRPr="00B42807" w14:paraId="38492FC1" w14:textId="77777777" w:rsidTr="000064BC">
        <w:trPr>
          <w:trHeight w:val="445"/>
        </w:trPr>
        <w:tc>
          <w:tcPr>
            <w:tcW w:w="1777" w:type="dxa"/>
          </w:tcPr>
          <w:p w14:paraId="16D36346" w14:textId="77777777" w:rsidR="000064BC" w:rsidRPr="00B42807" w:rsidRDefault="000064BC" w:rsidP="000064BC">
            <w:pPr>
              <w:spacing w:line="280" w:lineRule="atLeast"/>
              <w:jc w:val="center"/>
            </w:pPr>
            <w:r w:rsidRPr="00B42807">
              <w:t xml:space="preserve">Mobile home </w:t>
            </w:r>
          </w:p>
        </w:tc>
        <w:tc>
          <w:tcPr>
            <w:tcW w:w="1170" w:type="dxa"/>
            <w:tcBorders>
              <w:bottom w:val="nil"/>
            </w:tcBorders>
          </w:tcPr>
          <w:p w14:paraId="46943A1D" w14:textId="77777777" w:rsidR="000064BC" w:rsidRPr="00B42807" w:rsidRDefault="000064BC" w:rsidP="000064BC">
            <w:pPr>
              <w:spacing w:line="280" w:lineRule="atLeast"/>
              <w:jc w:val="center"/>
            </w:pPr>
            <w:r w:rsidRPr="00B42807">
              <w:t>842</w:t>
            </w:r>
          </w:p>
        </w:tc>
        <w:tc>
          <w:tcPr>
            <w:tcW w:w="1170" w:type="dxa"/>
            <w:tcBorders>
              <w:bottom w:val="nil"/>
            </w:tcBorders>
          </w:tcPr>
          <w:p w14:paraId="3F864187" w14:textId="77777777" w:rsidR="000064BC" w:rsidRPr="00B42807" w:rsidRDefault="000064BC" w:rsidP="000064BC">
            <w:pPr>
              <w:spacing w:line="280" w:lineRule="atLeast"/>
              <w:jc w:val="center"/>
            </w:pPr>
            <w:r w:rsidRPr="00B42807">
              <w:t>23.6%</w:t>
            </w:r>
          </w:p>
        </w:tc>
        <w:tc>
          <w:tcPr>
            <w:tcW w:w="1080" w:type="dxa"/>
            <w:tcBorders>
              <w:bottom w:val="nil"/>
            </w:tcBorders>
          </w:tcPr>
          <w:p w14:paraId="1C8CAD77" w14:textId="77777777" w:rsidR="000064BC" w:rsidRPr="00B42807" w:rsidRDefault="000064BC" w:rsidP="000064BC">
            <w:pPr>
              <w:spacing w:line="280" w:lineRule="atLeast"/>
              <w:jc w:val="center"/>
            </w:pPr>
            <w:r w:rsidRPr="00B42807">
              <w:t>743</w:t>
            </w:r>
          </w:p>
        </w:tc>
        <w:tc>
          <w:tcPr>
            <w:tcW w:w="990" w:type="dxa"/>
            <w:tcBorders>
              <w:bottom w:val="nil"/>
            </w:tcBorders>
          </w:tcPr>
          <w:p w14:paraId="5BE76467" w14:textId="77777777" w:rsidR="000064BC" w:rsidRPr="00B42807" w:rsidRDefault="000064BC" w:rsidP="000064BC">
            <w:pPr>
              <w:spacing w:line="280" w:lineRule="atLeast"/>
              <w:jc w:val="center"/>
            </w:pPr>
            <w:r w:rsidRPr="00B42807">
              <w:t>19.5%</w:t>
            </w:r>
          </w:p>
        </w:tc>
        <w:tc>
          <w:tcPr>
            <w:tcW w:w="1080" w:type="dxa"/>
          </w:tcPr>
          <w:p w14:paraId="5703A9C5" w14:textId="77777777" w:rsidR="000064BC" w:rsidRPr="00B42807" w:rsidRDefault="000064BC" w:rsidP="000064BC">
            <w:pPr>
              <w:spacing w:line="280" w:lineRule="atLeast"/>
              <w:jc w:val="center"/>
            </w:pPr>
            <w:r w:rsidRPr="00B42807">
              <w:t>912</w:t>
            </w:r>
          </w:p>
        </w:tc>
        <w:tc>
          <w:tcPr>
            <w:tcW w:w="1170" w:type="dxa"/>
          </w:tcPr>
          <w:p w14:paraId="4294C90D" w14:textId="77777777" w:rsidR="000064BC" w:rsidRPr="00B42807" w:rsidRDefault="000064BC" w:rsidP="000064BC">
            <w:pPr>
              <w:spacing w:line="280" w:lineRule="atLeast"/>
              <w:jc w:val="center"/>
            </w:pPr>
            <w:r w:rsidRPr="00B42807">
              <w:t>21.3%</w:t>
            </w:r>
          </w:p>
        </w:tc>
        <w:tc>
          <w:tcPr>
            <w:tcW w:w="990" w:type="dxa"/>
          </w:tcPr>
          <w:p w14:paraId="60F1D36F" w14:textId="77777777" w:rsidR="000064BC" w:rsidRPr="00B42807" w:rsidRDefault="000064BC" w:rsidP="000064BC">
            <w:pPr>
              <w:spacing w:line="280" w:lineRule="atLeast"/>
              <w:jc w:val="center"/>
            </w:pPr>
            <w:r w:rsidRPr="00B42807">
              <w:t>+7.7%</w:t>
            </w:r>
          </w:p>
        </w:tc>
      </w:tr>
      <w:tr w:rsidR="000064BC" w:rsidRPr="00B42807" w14:paraId="5B41A00D" w14:textId="77777777" w:rsidTr="000064BC">
        <w:trPr>
          <w:trHeight w:val="445"/>
        </w:trPr>
        <w:tc>
          <w:tcPr>
            <w:tcW w:w="1777" w:type="dxa"/>
            <w:tcBorders>
              <w:right w:val="nil"/>
            </w:tcBorders>
          </w:tcPr>
          <w:p w14:paraId="6AB9BE33" w14:textId="77777777" w:rsidR="000064BC" w:rsidRPr="00B42807" w:rsidRDefault="000064BC" w:rsidP="000064BC">
            <w:pPr>
              <w:spacing w:line="280" w:lineRule="atLeast"/>
              <w:jc w:val="center"/>
            </w:pPr>
            <w:r w:rsidRPr="00B42807">
              <w:t>TOTAL</w:t>
            </w:r>
          </w:p>
        </w:tc>
        <w:tc>
          <w:tcPr>
            <w:tcW w:w="1170" w:type="dxa"/>
            <w:tcBorders>
              <w:top w:val="single" w:sz="4" w:space="0" w:color="auto"/>
              <w:left w:val="single" w:sz="4" w:space="0" w:color="auto"/>
              <w:bottom w:val="single" w:sz="4" w:space="0" w:color="auto"/>
            </w:tcBorders>
          </w:tcPr>
          <w:p w14:paraId="72C2A87B" w14:textId="77777777" w:rsidR="000064BC" w:rsidRPr="00B42807" w:rsidRDefault="000064BC" w:rsidP="000064BC">
            <w:pPr>
              <w:spacing w:line="280" w:lineRule="atLeast"/>
              <w:jc w:val="center"/>
            </w:pPr>
            <w:r w:rsidRPr="00B42807">
              <w:t>3,562</w:t>
            </w:r>
          </w:p>
        </w:tc>
        <w:tc>
          <w:tcPr>
            <w:tcW w:w="1170" w:type="dxa"/>
            <w:tcBorders>
              <w:top w:val="single" w:sz="4" w:space="0" w:color="auto"/>
              <w:bottom w:val="single" w:sz="4" w:space="0" w:color="auto"/>
            </w:tcBorders>
          </w:tcPr>
          <w:p w14:paraId="30C65D7D" w14:textId="77777777" w:rsidR="000064BC" w:rsidRPr="00B42807" w:rsidRDefault="000064BC" w:rsidP="000064BC">
            <w:pPr>
              <w:spacing w:line="280" w:lineRule="atLeast"/>
              <w:jc w:val="center"/>
            </w:pPr>
            <w:r w:rsidRPr="00B42807">
              <w:t>100%</w:t>
            </w:r>
          </w:p>
        </w:tc>
        <w:tc>
          <w:tcPr>
            <w:tcW w:w="1080" w:type="dxa"/>
            <w:tcBorders>
              <w:top w:val="single" w:sz="4" w:space="0" w:color="auto"/>
              <w:bottom w:val="single" w:sz="4" w:space="0" w:color="auto"/>
            </w:tcBorders>
          </w:tcPr>
          <w:p w14:paraId="44FD3FFA" w14:textId="77777777" w:rsidR="000064BC" w:rsidRPr="00B42807" w:rsidRDefault="000064BC" w:rsidP="000064BC">
            <w:pPr>
              <w:spacing w:line="280" w:lineRule="atLeast"/>
              <w:jc w:val="center"/>
            </w:pPr>
            <w:r w:rsidRPr="00B42807">
              <w:t>3,791</w:t>
            </w:r>
          </w:p>
        </w:tc>
        <w:tc>
          <w:tcPr>
            <w:tcW w:w="990" w:type="dxa"/>
            <w:tcBorders>
              <w:top w:val="single" w:sz="4" w:space="0" w:color="auto"/>
              <w:bottom w:val="single" w:sz="4" w:space="0" w:color="auto"/>
              <w:right w:val="single" w:sz="4" w:space="0" w:color="auto"/>
            </w:tcBorders>
          </w:tcPr>
          <w:p w14:paraId="428C432B" w14:textId="77777777" w:rsidR="000064BC" w:rsidRPr="00B42807" w:rsidRDefault="000064BC" w:rsidP="000064BC">
            <w:pPr>
              <w:spacing w:line="280" w:lineRule="atLeast"/>
              <w:jc w:val="center"/>
            </w:pPr>
            <w:r w:rsidRPr="00B42807">
              <w:t>100%</w:t>
            </w:r>
          </w:p>
        </w:tc>
        <w:tc>
          <w:tcPr>
            <w:tcW w:w="1080" w:type="dxa"/>
            <w:tcBorders>
              <w:left w:val="nil"/>
            </w:tcBorders>
          </w:tcPr>
          <w:p w14:paraId="19F9B14C" w14:textId="77777777" w:rsidR="000064BC" w:rsidRPr="00B42807" w:rsidRDefault="000064BC" w:rsidP="000064BC">
            <w:pPr>
              <w:spacing w:line="280" w:lineRule="atLeast"/>
              <w:jc w:val="center"/>
            </w:pPr>
            <w:r w:rsidRPr="00B42807">
              <w:t>4,286</w:t>
            </w:r>
          </w:p>
        </w:tc>
        <w:tc>
          <w:tcPr>
            <w:tcW w:w="1170" w:type="dxa"/>
          </w:tcPr>
          <w:p w14:paraId="1B1380EF" w14:textId="77777777" w:rsidR="000064BC" w:rsidRPr="00B42807" w:rsidRDefault="000064BC" w:rsidP="000064BC">
            <w:pPr>
              <w:spacing w:line="280" w:lineRule="atLeast"/>
              <w:jc w:val="center"/>
            </w:pPr>
            <w:r w:rsidRPr="00B42807">
              <w:t>100%</w:t>
            </w:r>
          </w:p>
        </w:tc>
        <w:tc>
          <w:tcPr>
            <w:tcW w:w="990" w:type="dxa"/>
          </w:tcPr>
          <w:p w14:paraId="56461FDF" w14:textId="77777777" w:rsidR="000064BC" w:rsidRPr="00B42807" w:rsidRDefault="000064BC" w:rsidP="000064BC">
            <w:pPr>
              <w:spacing w:line="280" w:lineRule="atLeast"/>
              <w:jc w:val="center"/>
            </w:pPr>
            <w:r w:rsidRPr="00B42807">
              <w:t>+16.9%</w:t>
            </w:r>
          </w:p>
        </w:tc>
      </w:tr>
      <w:tr w:rsidR="000064BC" w:rsidRPr="00B42807" w14:paraId="6B0ADE6C" w14:textId="77777777" w:rsidTr="000064BC">
        <w:trPr>
          <w:trHeight w:val="1352"/>
        </w:trPr>
        <w:tc>
          <w:tcPr>
            <w:tcW w:w="8437" w:type="dxa"/>
            <w:gridSpan w:val="7"/>
          </w:tcPr>
          <w:p w14:paraId="7FA5FE17" w14:textId="77777777" w:rsidR="000064BC" w:rsidRDefault="000064BC" w:rsidP="000064BC">
            <w:pPr>
              <w:spacing w:line="280" w:lineRule="atLeast"/>
              <w:rPr>
                <w:i/>
              </w:rPr>
            </w:pPr>
            <w:r w:rsidRPr="00B42807">
              <w:rPr>
                <w:i/>
              </w:rPr>
              <w:t>Notes:  Mobile home includes “Other” (i.e.:  Boat, RV, van, etc.). The majority are mobile homes.</w:t>
            </w:r>
            <w:r w:rsidR="00504894">
              <w:rPr>
                <w:i/>
              </w:rPr>
              <w:t xml:space="preserve"> </w:t>
            </w:r>
          </w:p>
          <w:p w14:paraId="1E11C3B9" w14:textId="77777777" w:rsidR="00504894" w:rsidRPr="00776763" w:rsidRDefault="00504894" w:rsidP="000064BC">
            <w:pPr>
              <w:spacing w:line="280" w:lineRule="atLeast"/>
              <w:rPr>
                <w:i/>
              </w:rPr>
            </w:pPr>
            <w:r w:rsidRPr="00776763">
              <w:rPr>
                <w:i/>
              </w:rPr>
              <w:t>U:  indicates that data no longer collected by census</w:t>
            </w:r>
          </w:p>
          <w:p w14:paraId="2A8E645A" w14:textId="77777777" w:rsidR="000064BC" w:rsidRPr="00B42807" w:rsidRDefault="000064BC" w:rsidP="000064BC">
            <w:pPr>
              <w:spacing w:line="280" w:lineRule="atLeast"/>
              <w:rPr>
                <w:i/>
              </w:rPr>
            </w:pPr>
            <w:r w:rsidRPr="00B42807">
              <w:rPr>
                <w:i/>
              </w:rPr>
              <w:t>Single Family-Detached for 2010 includes attached units.</w:t>
            </w:r>
          </w:p>
          <w:p w14:paraId="33ACA9DC" w14:textId="77777777" w:rsidR="000064BC" w:rsidRPr="00B42807" w:rsidRDefault="000064BC" w:rsidP="000064BC">
            <w:pPr>
              <w:spacing w:line="280" w:lineRule="atLeast"/>
              <w:rPr>
                <w:i/>
              </w:rPr>
            </w:pPr>
            <w:r w:rsidRPr="00B42807">
              <w:rPr>
                <w:i/>
              </w:rPr>
              <w:t>Sources: U.S. Census 2000, 1990HCD Data Package</w:t>
            </w:r>
          </w:p>
        </w:tc>
        <w:tc>
          <w:tcPr>
            <w:tcW w:w="990" w:type="dxa"/>
          </w:tcPr>
          <w:p w14:paraId="01FD3C9C" w14:textId="77777777" w:rsidR="000064BC" w:rsidRPr="00B42807" w:rsidRDefault="000064BC" w:rsidP="000064BC">
            <w:pPr>
              <w:spacing w:line="280" w:lineRule="atLeast"/>
              <w:rPr>
                <w:i/>
              </w:rPr>
            </w:pPr>
          </w:p>
        </w:tc>
      </w:tr>
    </w:tbl>
    <w:p w14:paraId="1B03C675" w14:textId="77777777" w:rsidR="000064BC" w:rsidRDefault="000064BC" w:rsidP="000064BC"/>
    <w:p w14:paraId="7AE12C39" w14:textId="77777777" w:rsidR="00885ACB" w:rsidRPr="00885ACB" w:rsidRDefault="00885ACB" w:rsidP="00885ACB">
      <w:pPr>
        <w:spacing w:after="0" w:line="280" w:lineRule="atLeast"/>
        <w:jc w:val="both"/>
        <w:rPr>
          <w:b/>
        </w:rPr>
      </w:pPr>
    </w:p>
    <w:p w14:paraId="2B6A8FFA" w14:textId="77777777" w:rsidR="00885ACB" w:rsidRPr="00885ACB" w:rsidRDefault="002E1FEA" w:rsidP="00EF449A">
      <w:pPr>
        <w:pStyle w:val="Heading3"/>
      </w:pPr>
      <w:bookmarkStart w:id="91" w:name="_Toc383700008"/>
      <w:r>
        <w:t xml:space="preserve">b. </w:t>
      </w:r>
      <w:r w:rsidR="00885ACB" w:rsidRPr="00885ACB">
        <w:t>HOUSING STOCK CONDITIONS</w:t>
      </w:r>
      <w:bookmarkEnd w:id="91"/>
      <w:r w:rsidR="00885ACB" w:rsidRPr="00885ACB">
        <w:fldChar w:fldCharType="begin"/>
      </w:r>
      <w:r w:rsidR="00885ACB" w:rsidRPr="00885ACB">
        <w:instrText xml:space="preserve"> TC"</w:instrText>
      </w:r>
      <w:bookmarkStart w:id="92" w:name="_Toc53806460"/>
      <w:bookmarkStart w:id="93" w:name="_Toc66156052"/>
      <w:bookmarkStart w:id="94" w:name="_Toc76443972"/>
      <w:bookmarkStart w:id="95" w:name="_Toc123887102"/>
      <w:r w:rsidR="00885ACB" w:rsidRPr="00885ACB">
        <w:instrText>Housing Stock Conditions</w:instrText>
      </w:r>
      <w:bookmarkEnd w:id="92"/>
      <w:bookmarkEnd w:id="93"/>
      <w:bookmarkEnd w:id="94"/>
      <w:bookmarkEnd w:id="95"/>
      <w:r w:rsidR="00885ACB" w:rsidRPr="00885ACB">
        <w:instrText xml:space="preserve">"\l 3 </w:instrText>
      </w:r>
      <w:r w:rsidR="00885ACB" w:rsidRPr="00885ACB">
        <w:fldChar w:fldCharType="end"/>
      </w:r>
    </w:p>
    <w:p w14:paraId="32223AAB" w14:textId="77777777" w:rsidR="00885ACB" w:rsidRPr="00885ACB" w:rsidRDefault="00885ACB" w:rsidP="00885ACB">
      <w:pPr>
        <w:spacing w:after="0" w:line="280" w:lineRule="atLeast"/>
        <w:jc w:val="both"/>
      </w:pPr>
      <w:r w:rsidRPr="00885ACB">
        <w:t>The Mono County Community Development Department completed a comprehensive Housing Condition Survey for the unincorporated area of the County in the summer of 2009.  The results of that survey are shown in Table 15; results are shown for conventional single family residences (SFR) as well as mobile homes (MH).  The results have been aggregated by planning area.  Data for smaller community areas within the planning areas is available from the Community Development Department.</w:t>
      </w:r>
    </w:p>
    <w:p w14:paraId="66318B95" w14:textId="77777777" w:rsidR="00885ACB" w:rsidRDefault="00885ACB" w:rsidP="00885ACB">
      <w:pPr>
        <w:spacing w:after="0" w:line="280" w:lineRule="atLeast"/>
        <w:jc w:val="both"/>
      </w:pPr>
      <w:r w:rsidRPr="00885ACB">
        <w:t>Housing units determined to be in Good Condition were in overall good condition with no repair needed. Units determined to be in Fair Condition were structurally sound but needed some minimal repair and/or paint. Units determined to be in Poor Condition were not structurally sound and needed repairs and/or paint.</w:t>
      </w:r>
    </w:p>
    <w:p w14:paraId="15C4CEB0" w14:textId="77777777" w:rsidR="00885ACB" w:rsidRDefault="00885ACB" w:rsidP="00885ACB">
      <w:pPr>
        <w:spacing w:after="0" w:line="280" w:lineRule="atLeast"/>
        <w:jc w:val="both"/>
      </w:pPr>
    </w:p>
    <w:p w14:paraId="3A39FD92" w14:textId="77777777" w:rsidR="00BC3D09" w:rsidRPr="00902009" w:rsidRDefault="00BC3D09" w:rsidP="00BC3D09">
      <w:pPr>
        <w:spacing w:line="280" w:lineRule="atLeast"/>
        <w:jc w:val="both"/>
      </w:pPr>
      <w:r w:rsidRPr="00902009">
        <w:t xml:space="preserve">Table 15, Housing Stock Conditions by Planning Area, 2009. </w:t>
      </w:r>
    </w:p>
    <w:tbl>
      <w:tblPr>
        <w:tblW w:w="7165" w:type="dxa"/>
        <w:tblInd w:w="-60" w:type="dxa"/>
        <w:tblLook w:val="04A0" w:firstRow="1" w:lastRow="0" w:firstColumn="1" w:lastColumn="0" w:noHBand="0" w:noVBand="1"/>
      </w:tblPr>
      <w:tblGrid>
        <w:gridCol w:w="1316"/>
        <w:gridCol w:w="817"/>
        <w:gridCol w:w="711"/>
        <w:gridCol w:w="558"/>
        <w:gridCol w:w="648"/>
        <w:gridCol w:w="683"/>
        <w:gridCol w:w="764"/>
        <w:gridCol w:w="764"/>
        <w:gridCol w:w="904"/>
      </w:tblGrid>
      <w:tr w:rsidR="00BC3D09" w:rsidRPr="00902009" w14:paraId="3FC7D27F" w14:textId="77777777" w:rsidTr="00BC3D09">
        <w:trPr>
          <w:trHeight w:val="269"/>
        </w:trPr>
        <w:tc>
          <w:tcPr>
            <w:tcW w:w="213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C19664" w14:textId="77777777" w:rsidR="00BC3D09" w:rsidRPr="00902009" w:rsidRDefault="00BC3D09" w:rsidP="00BC3D09">
            <w:pPr>
              <w:spacing w:after="0" w:line="240" w:lineRule="auto"/>
              <w:jc w:val="center"/>
              <w:rPr>
                <w:rFonts w:eastAsia="Times New Roman" w:cs="Times New Roman"/>
                <w:b/>
                <w:bCs/>
                <w:color w:val="000000"/>
              </w:rPr>
            </w:pPr>
            <w:r w:rsidRPr="00902009">
              <w:rPr>
                <w:rFonts w:eastAsia="Times New Roman" w:cs="Times New Roman"/>
                <w:b/>
                <w:bCs/>
                <w:color w:val="000000"/>
              </w:rPr>
              <w:t> </w:t>
            </w:r>
          </w:p>
        </w:tc>
        <w:tc>
          <w:tcPr>
            <w:tcW w:w="26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B357B0" w14:textId="77777777" w:rsidR="00BC3D09" w:rsidRPr="00902009" w:rsidRDefault="00BC3D09" w:rsidP="00BC3D09">
            <w:pPr>
              <w:spacing w:after="0" w:line="240" w:lineRule="auto"/>
              <w:jc w:val="center"/>
              <w:rPr>
                <w:rFonts w:eastAsia="Times New Roman" w:cs="Times New Roman"/>
                <w:b/>
                <w:bCs/>
                <w:color w:val="000000"/>
              </w:rPr>
            </w:pPr>
            <w:r w:rsidRPr="00902009">
              <w:rPr>
                <w:rFonts w:eastAsia="Times New Roman" w:cs="Times New Roman"/>
                <w:b/>
                <w:bCs/>
                <w:color w:val="000000"/>
              </w:rPr>
              <w:t>Number of Housing Units</w:t>
            </w:r>
          </w:p>
        </w:tc>
        <w:tc>
          <w:tcPr>
            <w:tcW w:w="2432" w:type="dxa"/>
            <w:gridSpan w:val="3"/>
            <w:tcBorders>
              <w:top w:val="single" w:sz="4" w:space="0" w:color="auto"/>
              <w:left w:val="nil"/>
              <w:bottom w:val="single" w:sz="4" w:space="0" w:color="auto"/>
              <w:right w:val="single" w:sz="4" w:space="0" w:color="auto"/>
            </w:tcBorders>
            <w:shd w:val="clear" w:color="auto" w:fill="auto"/>
            <w:noWrap/>
            <w:vAlign w:val="bottom"/>
            <w:hideMark/>
          </w:tcPr>
          <w:p w14:paraId="0937E138" w14:textId="77777777" w:rsidR="00BC3D09" w:rsidRPr="00902009" w:rsidRDefault="00BC3D09" w:rsidP="00BC3D09">
            <w:pPr>
              <w:spacing w:after="0" w:line="240" w:lineRule="auto"/>
              <w:jc w:val="center"/>
              <w:rPr>
                <w:rFonts w:eastAsia="Times New Roman" w:cs="Times New Roman"/>
                <w:b/>
                <w:bCs/>
                <w:color w:val="000000"/>
              </w:rPr>
            </w:pPr>
            <w:r w:rsidRPr="00902009">
              <w:rPr>
                <w:rFonts w:eastAsia="Times New Roman" w:cs="Times New Roman"/>
                <w:b/>
                <w:bCs/>
                <w:color w:val="000000"/>
              </w:rPr>
              <w:t>% of Total</w:t>
            </w:r>
          </w:p>
        </w:tc>
      </w:tr>
      <w:tr w:rsidR="00BC3D09" w:rsidRPr="00902009" w14:paraId="0E8AEC85"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6FE331F8"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Planning Area</w:t>
            </w:r>
          </w:p>
        </w:tc>
        <w:tc>
          <w:tcPr>
            <w:tcW w:w="817" w:type="dxa"/>
            <w:tcBorders>
              <w:top w:val="nil"/>
              <w:left w:val="nil"/>
              <w:bottom w:val="single" w:sz="4" w:space="0" w:color="auto"/>
              <w:right w:val="single" w:sz="4" w:space="0" w:color="auto"/>
            </w:tcBorders>
            <w:shd w:val="clear" w:color="auto" w:fill="auto"/>
            <w:noWrap/>
            <w:vAlign w:val="bottom"/>
            <w:hideMark/>
          </w:tcPr>
          <w:p w14:paraId="7A00DD25"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Unit Type</w:t>
            </w:r>
          </w:p>
        </w:tc>
        <w:tc>
          <w:tcPr>
            <w:tcW w:w="711" w:type="dxa"/>
            <w:tcBorders>
              <w:top w:val="nil"/>
              <w:left w:val="nil"/>
              <w:bottom w:val="single" w:sz="4" w:space="0" w:color="auto"/>
              <w:right w:val="single" w:sz="4" w:space="0" w:color="auto"/>
            </w:tcBorders>
            <w:shd w:val="clear" w:color="auto" w:fill="auto"/>
            <w:noWrap/>
            <w:vAlign w:val="bottom"/>
            <w:hideMark/>
          </w:tcPr>
          <w:p w14:paraId="0E30BD92"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Good</w:t>
            </w:r>
          </w:p>
        </w:tc>
        <w:tc>
          <w:tcPr>
            <w:tcW w:w="558" w:type="dxa"/>
            <w:tcBorders>
              <w:top w:val="nil"/>
              <w:left w:val="nil"/>
              <w:bottom w:val="single" w:sz="4" w:space="0" w:color="auto"/>
              <w:right w:val="single" w:sz="4" w:space="0" w:color="auto"/>
            </w:tcBorders>
            <w:shd w:val="clear" w:color="auto" w:fill="auto"/>
            <w:noWrap/>
            <w:vAlign w:val="bottom"/>
            <w:hideMark/>
          </w:tcPr>
          <w:p w14:paraId="7EE53784"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Fair</w:t>
            </w:r>
          </w:p>
        </w:tc>
        <w:tc>
          <w:tcPr>
            <w:tcW w:w="648" w:type="dxa"/>
            <w:tcBorders>
              <w:top w:val="nil"/>
              <w:left w:val="nil"/>
              <w:bottom w:val="single" w:sz="4" w:space="0" w:color="auto"/>
              <w:right w:val="single" w:sz="4" w:space="0" w:color="auto"/>
            </w:tcBorders>
            <w:shd w:val="clear" w:color="auto" w:fill="auto"/>
            <w:noWrap/>
            <w:vAlign w:val="bottom"/>
            <w:hideMark/>
          </w:tcPr>
          <w:p w14:paraId="3A8FCCF9"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Poor</w:t>
            </w:r>
          </w:p>
        </w:tc>
        <w:tc>
          <w:tcPr>
            <w:tcW w:w="683" w:type="dxa"/>
            <w:tcBorders>
              <w:top w:val="nil"/>
              <w:left w:val="nil"/>
              <w:bottom w:val="single" w:sz="4" w:space="0" w:color="auto"/>
              <w:right w:val="single" w:sz="4" w:space="0" w:color="auto"/>
            </w:tcBorders>
            <w:shd w:val="clear" w:color="auto" w:fill="auto"/>
            <w:noWrap/>
            <w:vAlign w:val="bottom"/>
            <w:hideMark/>
          </w:tcPr>
          <w:p w14:paraId="39B73669"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Total</w:t>
            </w:r>
          </w:p>
        </w:tc>
        <w:tc>
          <w:tcPr>
            <w:tcW w:w="764" w:type="dxa"/>
            <w:tcBorders>
              <w:top w:val="nil"/>
              <w:left w:val="nil"/>
              <w:bottom w:val="single" w:sz="4" w:space="0" w:color="auto"/>
              <w:right w:val="single" w:sz="4" w:space="0" w:color="auto"/>
            </w:tcBorders>
            <w:shd w:val="clear" w:color="auto" w:fill="auto"/>
            <w:noWrap/>
            <w:vAlign w:val="bottom"/>
            <w:hideMark/>
          </w:tcPr>
          <w:p w14:paraId="44AF3EB3"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Good</w:t>
            </w:r>
          </w:p>
        </w:tc>
        <w:tc>
          <w:tcPr>
            <w:tcW w:w="764" w:type="dxa"/>
            <w:tcBorders>
              <w:top w:val="nil"/>
              <w:left w:val="nil"/>
              <w:bottom w:val="single" w:sz="4" w:space="0" w:color="auto"/>
              <w:right w:val="single" w:sz="4" w:space="0" w:color="auto"/>
            </w:tcBorders>
            <w:shd w:val="clear" w:color="auto" w:fill="auto"/>
            <w:noWrap/>
            <w:vAlign w:val="bottom"/>
            <w:hideMark/>
          </w:tcPr>
          <w:p w14:paraId="120529BA"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Fair</w:t>
            </w:r>
          </w:p>
        </w:tc>
        <w:tc>
          <w:tcPr>
            <w:tcW w:w="904" w:type="dxa"/>
            <w:tcBorders>
              <w:top w:val="nil"/>
              <w:left w:val="nil"/>
              <w:bottom w:val="single" w:sz="4" w:space="0" w:color="auto"/>
              <w:right w:val="single" w:sz="4" w:space="0" w:color="auto"/>
            </w:tcBorders>
            <w:shd w:val="clear" w:color="auto" w:fill="auto"/>
            <w:noWrap/>
            <w:vAlign w:val="bottom"/>
            <w:hideMark/>
          </w:tcPr>
          <w:p w14:paraId="6B1E9019"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Poor</w:t>
            </w:r>
          </w:p>
        </w:tc>
      </w:tr>
      <w:tr w:rsidR="00BC3D09" w:rsidRPr="00902009" w14:paraId="4633C3D2"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02A07147"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Antelope Valley</w:t>
            </w:r>
          </w:p>
        </w:tc>
        <w:tc>
          <w:tcPr>
            <w:tcW w:w="817" w:type="dxa"/>
            <w:tcBorders>
              <w:top w:val="nil"/>
              <w:left w:val="nil"/>
              <w:bottom w:val="single" w:sz="4" w:space="0" w:color="auto"/>
              <w:right w:val="single" w:sz="4" w:space="0" w:color="auto"/>
            </w:tcBorders>
            <w:shd w:val="clear" w:color="auto" w:fill="auto"/>
            <w:noWrap/>
            <w:vAlign w:val="bottom"/>
            <w:hideMark/>
          </w:tcPr>
          <w:p w14:paraId="602664C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14:paraId="3BF59BD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116</w:t>
            </w:r>
          </w:p>
        </w:tc>
        <w:tc>
          <w:tcPr>
            <w:tcW w:w="558" w:type="dxa"/>
            <w:tcBorders>
              <w:top w:val="nil"/>
              <w:left w:val="nil"/>
              <w:bottom w:val="single" w:sz="4" w:space="0" w:color="auto"/>
              <w:right w:val="single" w:sz="4" w:space="0" w:color="auto"/>
            </w:tcBorders>
            <w:shd w:val="clear" w:color="auto" w:fill="auto"/>
            <w:noWrap/>
            <w:vAlign w:val="bottom"/>
            <w:hideMark/>
          </w:tcPr>
          <w:p w14:paraId="5868344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128</w:t>
            </w:r>
          </w:p>
        </w:tc>
        <w:tc>
          <w:tcPr>
            <w:tcW w:w="648" w:type="dxa"/>
            <w:tcBorders>
              <w:top w:val="nil"/>
              <w:left w:val="nil"/>
              <w:bottom w:val="single" w:sz="4" w:space="0" w:color="auto"/>
              <w:right w:val="single" w:sz="4" w:space="0" w:color="auto"/>
            </w:tcBorders>
            <w:shd w:val="clear" w:color="auto" w:fill="auto"/>
            <w:noWrap/>
            <w:vAlign w:val="bottom"/>
            <w:hideMark/>
          </w:tcPr>
          <w:p w14:paraId="30AAC2A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w:t>
            </w:r>
          </w:p>
        </w:tc>
        <w:tc>
          <w:tcPr>
            <w:tcW w:w="683" w:type="dxa"/>
            <w:tcBorders>
              <w:top w:val="nil"/>
              <w:left w:val="nil"/>
              <w:bottom w:val="single" w:sz="4" w:space="0" w:color="auto"/>
              <w:right w:val="single" w:sz="4" w:space="0" w:color="auto"/>
            </w:tcBorders>
            <w:shd w:val="clear" w:color="auto" w:fill="auto"/>
            <w:noWrap/>
            <w:vAlign w:val="bottom"/>
            <w:hideMark/>
          </w:tcPr>
          <w:p w14:paraId="21FACE0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273</w:t>
            </w:r>
          </w:p>
        </w:tc>
        <w:tc>
          <w:tcPr>
            <w:tcW w:w="764" w:type="dxa"/>
            <w:tcBorders>
              <w:top w:val="nil"/>
              <w:left w:val="nil"/>
              <w:bottom w:val="single" w:sz="4" w:space="0" w:color="auto"/>
              <w:right w:val="single" w:sz="4" w:space="0" w:color="auto"/>
            </w:tcBorders>
            <w:shd w:val="clear" w:color="auto" w:fill="auto"/>
            <w:noWrap/>
            <w:vAlign w:val="bottom"/>
            <w:hideMark/>
          </w:tcPr>
          <w:p w14:paraId="2DBF777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42.5%</w:t>
            </w:r>
          </w:p>
        </w:tc>
        <w:tc>
          <w:tcPr>
            <w:tcW w:w="764" w:type="dxa"/>
            <w:tcBorders>
              <w:top w:val="nil"/>
              <w:left w:val="nil"/>
              <w:bottom w:val="single" w:sz="4" w:space="0" w:color="auto"/>
              <w:right w:val="single" w:sz="4" w:space="0" w:color="auto"/>
            </w:tcBorders>
            <w:shd w:val="clear" w:color="auto" w:fill="auto"/>
            <w:noWrap/>
            <w:vAlign w:val="bottom"/>
            <w:hideMark/>
          </w:tcPr>
          <w:p w14:paraId="25576A5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46.9%</w:t>
            </w:r>
          </w:p>
        </w:tc>
        <w:tc>
          <w:tcPr>
            <w:tcW w:w="904" w:type="dxa"/>
            <w:tcBorders>
              <w:top w:val="single" w:sz="4" w:space="0" w:color="auto"/>
              <w:left w:val="single" w:sz="4" w:space="0" w:color="auto"/>
              <w:bottom w:val="single" w:sz="4" w:space="0" w:color="auto"/>
              <w:right w:val="single" w:sz="4" w:space="0" w:color="auto"/>
            </w:tcBorders>
            <w:shd w:val="clear" w:color="000000" w:fill="FA9FA1"/>
            <w:noWrap/>
            <w:vAlign w:val="bottom"/>
            <w:hideMark/>
          </w:tcPr>
          <w:p w14:paraId="2597A8C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10.6%</w:t>
            </w:r>
          </w:p>
        </w:tc>
      </w:tr>
      <w:tr w:rsidR="00BC3D09" w:rsidRPr="00902009" w14:paraId="47E902EC"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4AEC3916"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6356ED1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14:paraId="18D34F7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64</w:t>
            </w:r>
          </w:p>
        </w:tc>
        <w:tc>
          <w:tcPr>
            <w:tcW w:w="558" w:type="dxa"/>
            <w:tcBorders>
              <w:top w:val="nil"/>
              <w:left w:val="nil"/>
              <w:bottom w:val="single" w:sz="4" w:space="0" w:color="auto"/>
              <w:right w:val="single" w:sz="4" w:space="0" w:color="auto"/>
            </w:tcBorders>
            <w:shd w:val="clear" w:color="auto" w:fill="auto"/>
            <w:noWrap/>
            <w:vAlign w:val="bottom"/>
            <w:hideMark/>
          </w:tcPr>
          <w:p w14:paraId="7D9D8C6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58</w:t>
            </w:r>
          </w:p>
        </w:tc>
        <w:tc>
          <w:tcPr>
            <w:tcW w:w="648" w:type="dxa"/>
            <w:tcBorders>
              <w:top w:val="nil"/>
              <w:left w:val="nil"/>
              <w:bottom w:val="single" w:sz="4" w:space="0" w:color="auto"/>
              <w:right w:val="single" w:sz="4" w:space="0" w:color="auto"/>
            </w:tcBorders>
            <w:shd w:val="clear" w:color="auto" w:fill="auto"/>
            <w:noWrap/>
            <w:vAlign w:val="bottom"/>
            <w:hideMark/>
          </w:tcPr>
          <w:p w14:paraId="20215B3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w:t>
            </w:r>
          </w:p>
        </w:tc>
        <w:tc>
          <w:tcPr>
            <w:tcW w:w="683" w:type="dxa"/>
            <w:tcBorders>
              <w:top w:val="nil"/>
              <w:left w:val="nil"/>
              <w:bottom w:val="single" w:sz="4" w:space="0" w:color="auto"/>
              <w:right w:val="single" w:sz="4" w:space="0" w:color="auto"/>
            </w:tcBorders>
            <w:shd w:val="clear" w:color="auto" w:fill="auto"/>
            <w:noWrap/>
            <w:vAlign w:val="bottom"/>
            <w:hideMark/>
          </w:tcPr>
          <w:p w14:paraId="3AB5EFA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146</w:t>
            </w:r>
          </w:p>
        </w:tc>
        <w:tc>
          <w:tcPr>
            <w:tcW w:w="764" w:type="dxa"/>
            <w:tcBorders>
              <w:top w:val="nil"/>
              <w:left w:val="nil"/>
              <w:bottom w:val="single" w:sz="4" w:space="0" w:color="auto"/>
              <w:right w:val="single" w:sz="4" w:space="0" w:color="auto"/>
            </w:tcBorders>
            <w:shd w:val="clear" w:color="auto" w:fill="auto"/>
            <w:noWrap/>
            <w:vAlign w:val="bottom"/>
            <w:hideMark/>
          </w:tcPr>
          <w:p w14:paraId="70B6BD5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43.8%</w:t>
            </w:r>
          </w:p>
        </w:tc>
        <w:tc>
          <w:tcPr>
            <w:tcW w:w="764" w:type="dxa"/>
            <w:tcBorders>
              <w:top w:val="nil"/>
              <w:left w:val="nil"/>
              <w:bottom w:val="single" w:sz="4" w:space="0" w:color="auto"/>
              <w:right w:val="single" w:sz="4" w:space="0" w:color="auto"/>
            </w:tcBorders>
            <w:shd w:val="clear" w:color="auto" w:fill="auto"/>
            <w:noWrap/>
            <w:vAlign w:val="bottom"/>
            <w:hideMark/>
          </w:tcPr>
          <w:p w14:paraId="2D8B9CB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39.7%</w:t>
            </w:r>
          </w:p>
        </w:tc>
        <w:tc>
          <w:tcPr>
            <w:tcW w:w="904" w:type="dxa"/>
            <w:tcBorders>
              <w:top w:val="single" w:sz="4" w:space="0" w:color="auto"/>
              <w:left w:val="single" w:sz="4" w:space="0" w:color="auto"/>
              <w:bottom w:val="single" w:sz="4" w:space="0" w:color="auto"/>
              <w:right w:val="single" w:sz="4" w:space="0" w:color="auto"/>
            </w:tcBorders>
            <w:shd w:val="clear" w:color="000000" w:fill="F96C6E"/>
            <w:noWrap/>
            <w:vAlign w:val="bottom"/>
            <w:hideMark/>
          </w:tcPr>
          <w:p w14:paraId="6008AD3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16.4%</w:t>
            </w:r>
          </w:p>
        </w:tc>
      </w:tr>
      <w:tr w:rsidR="00BC3D09" w:rsidRPr="00902009" w14:paraId="5EAA5BD6"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5121F492"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1EB060E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14:paraId="6F824BE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180</w:t>
            </w:r>
          </w:p>
        </w:tc>
        <w:tc>
          <w:tcPr>
            <w:tcW w:w="558" w:type="dxa"/>
            <w:tcBorders>
              <w:top w:val="nil"/>
              <w:left w:val="nil"/>
              <w:bottom w:val="single" w:sz="4" w:space="0" w:color="auto"/>
              <w:right w:val="single" w:sz="4" w:space="0" w:color="auto"/>
            </w:tcBorders>
            <w:shd w:val="clear" w:color="auto" w:fill="auto"/>
            <w:noWrap/>
            <w:vAlign w:val="bottom"/>
            <w:hideMark/>
          </w:tcPr>
          <w:p w14:paraId="74A7539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186</w:t>
            </w:r>
          </w:p>
        </w:tc>
        <w:tc>
          <w:tcPr>
            <w:tcW w:w="648" w:type="dxa"/>
            <w:tcBorders>
              <w:top w:val="nil"/>
              <w:left w:val="nil"/>
              <w:bottom w:val="single" w:sz="4" w:space="0" w:color="auto"/>
              <w:right w:val="single" w:sz="4" w:space="0" w:color="auto"/>
            </w:tcBorders>
            <w:shd w:val="clear" w:color="auto" w:fill="auto"/>
            <w:noWrap/>
            <w:vAlign w:val="bottom"/>
            <w:hideMark/>
          </w:tcPr>
          <w:p w14:paraId="523E537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53</w:t>
            </w:r>
          </w:p>
        </w:tc>
        <w:tc>
          <w:tcPr>
            <w:tcW w:w="683" w:type="dxa"/>
            <w:tcBorders>
              <w:top w:val="nil"/>
              <w:left w:val="nil"/>
              <w:bottom w:val="single" w:sz="4" w:space="0" w:color="auto"/>
              <w:right w:val="single" w:sz="4" w:space="0" w:color="auto"/>
            </w:tcBorders>
            <w:shd w:val="clear" w:color="auto" w:fill="auto"/>
            <w:noWrap/>
            <w:vAlign w:val="bottom"/>
            <w:hideMark/>
          </w:tcPr>
          <w:p w14:paraId="3C15026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419</w:t>
            </w:r>
          </w:p>
        </w:tc>
        <w:tc>
          <w:tcPr>
            <w:tcW w:w="764" w:type="dxa"/>
            <w:tcBorders>
              <w:top w:val="nil"/>
              <w:left w:val="nil"/>
              <w:bottom w:val="single" w:sz="4" w:space="0" w:color="auto"/>
              <w:right w:val="single" w:sz="4" w:space="0" w:color="auto"/>
            </w:tcBorders>
            <w:shd w:val="clear" w:color="auto" w:fill="auto"/>
            <w:noWrap/>
            <w:vAlign w:val="bottom"/>
            <w:hideMark/>
          </w:tcPr>
          <w:p w14:paraId="0D0AF5A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43.0%</w:t>
            </w:r>
          </w:p>
        </w:tc>
        <w:tc>
          <w:tcPr>
            <w:tcW w:w="764" w:type="dxa"/>
            <w:tcBorders>
              <w:top w:val="nil"/>
              <w:left w:val="nil"/>
              <w:bottom w:val="single" w:sz="4" w:space="0" w:color="auto"/>
              <w:right w:val="single" w:sz="4" w:space="0" w:color="auto"/>
            </w:tcBorders>
            <w:shd w:val="clear" w:color="auto" w:fill="auto"/>
            <w:noWrap/>
            <w:vAlign w:val="bottom"/>
            <w:hideMark/>
          </w:tcPr>
          <w:p w14:paraId="787ECA4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44.4%</w:t>
            </w:r>
          </w:p>
        </w:tc>
        <w:tc>
          <w:tcPr>
            <w:tcW w:w="904" w:type="dxa"/>
            <w:tcBorders>
              <w:top w:val="single" w:sz="4" w:space="0" w:color="auto"/>
              <w:left w:val="single" w:sz="4" w:space="0" w:color="auto"/>
              <w:bottom w:val="single" w:sz="4" w:space="0" w:color="auto"/>
              <w:right w:val="single" w:sz="4" w:space="0" w:color="auto"/>
            </w:tcBorders>
            <w:shd w:val="clear" w:color="000000" w:fill="F98D8F"/>
            <w:noWrap/>
            <w:vAlign w:val="bottom"/>
            <w:hideMark/>
          </w:tcPr>
          <w:p w14:paraId="3322F1F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12.6%</w:t>
            </w:r>
          </w:p>
        </w:tc>
      </w:tr>
      <w:tr w:rsidR="00BC3D09" w:rsidRPr="00902009" w14:paraId="36D41E7F"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48921448"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Bridgeport Valley</w:t>
            </w:r>
          </w:p>
        </w:tc>
        <w:tc>
          <w:tcPr>
            <w:tcW w:w="817" w:type="dxa"/>
            <w:tcBorders>
              <w:top w:val="nil"/>
              <w:left w:val="nil"/>
              <w:bottom w:val="single" w:sz="4" w:space="0" w:color="auto"/>
              <w:right w:val="single" w:sz="4" w:space="0" w:color="auto"/>
            </w:tcBorders>
            <w:shd w:val="clear" w:color="auto" w:fill="auto"/>
            <w:noWrap/>
            <w:vAlign w:val="bottom"/>
            <w:hideMark/>
          </w:tcPr>
          <w:p w14:paraId="2720EB7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14:paraId="34F52D5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101</w:t>
            </w:r>
          </w:p>
        </w:tc>
        <w:tc>
          <w:tcPr>
            <w:tcW w:w="558" w:type="dxa"/>
            <w:tcBorders>
              <w:top w:val="nil"/>
              <w:left w:val="nil"/>
              <w:bottom w:val="single" w:sz="4" w:space="0" w:color="auto"/>
              <w:right w:val="single" w:sz="4" w:space="0" w:color="auto"/>
            </w:tcBorders>
            <w:shd w:val="clear" w:color="auto" w:fill="auto"/>
            <w:noWrap/>
            <w:vAlign w:val="bottom"/>
            <w:hideMark/>
          </w:tcPr>
          <w:p w14:paraId="3CD9FE0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87</w:t>
            </w:r>
          </w:p>
        </w:tc>
        <w:tc>
          <w:tcPr>
            <w:tcW w:w="648" w:type="dxa"/>
            <w:tcBorders>
              <w:top w:val="nil"/>
              <w:left w:val="nil"/>
              <w:bottom w:val="single" w:sz="4" w:space="0" w:color="auto"/>
              <w:right w:val="single" w:sz="4" w:space="0" w:color="auto"/>
            </w:tcBorders>
            <w:shd w:val="clear" w:color="auto" w:fill="auto"/>
            <w:noWrap/>
            <w:vAlign w:val="bottom"/>
            <w:hideMark/>
          </w:tcPr>
          <w:p w14:paraId="11F464E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683" w:type="dxa"/>
            <w:tcBorders>
              <w:top w:val="nil"/>
              <w:left w:val="nil"/>
              <w:bottom w:val="single" w:sz="4" w:space="0" w:color="auto"/>
              <w:right w:val="single" w:sz="4" w:space="0" w:color="auto"/>
            </w:tcBorders>
            <w:shd w:val="clear" w:color="auto" w:fill="auto"/>
            <w:noWrap/>
            <w:vAlign w:val="bottom"/>
            <w:hideMark/>
          </w:tcPr>
          <w:p w14:paraId="67D001D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203</w:t>
            </w:r>
          </w:p>
        </w:tc>
        <w:tc>
          <w:tcPr>
            <w:tcW w:w="764" w:type="dxa"/>
            <w:tcBorders>
              <w:top w:val="nil"/>
              <w:left w:val="nil"/>
              <w:bottom w:val="single" w:sz="4" w:space="0" w:color="auto"/>
              <w:right w:val="single" w:sz="4" w:space="0" w:color="auto"/>
            </w:tcBorders>
            <w:shd w:val="clear" w:color="auto" w:fill="auto"/>
            <w:noWrap/>
            <w:vAlign w:val="bottom"/>
            <w:hideMark/>
          </w:tcPr>
          <w:p w14:paraId="31E405C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49.8%</w:t>
            </w:r>
          </w:p>
        </w:tc>
        <w:tc>
          <w:tcPr>
            <w:tcW w:w="764" w:type="dxa"/>
            <w:tcBorders>
              <w:top w:val="nil"/>
              <w:left w:val="nil"/>
              <w:bottom w:val="single" w:sz="4" w:space="0" w:color="auto"/>
              <w:right w:val="single" w:sz="4" w:space="0" w:color="auto"/>
            </w:tcBorders>
            <w:shd w:val="clear" w:color="auto" w:fill="auto"/>
            <w:noWrap/>
            <w:vAlign w:val="bottom"/>
            <w:hideMark/>
          </w:tcPr>
          <w:p w14:paraId="13BE674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42.9%</w:t>
            </w:r>
          </w:p>
        </w:tc>
        <w:tc>
          <w:tcPr>
            <w:tcW w:w="904" w:type="dxa"/>
            <w:tcBorders>
              <w:top w:val="single" w:sz="4" w:space="0" w:color="auto"/>
              <w:left w:val="single" w:sz="4" w:space="0" w:color="auto"/>
              <w:bottom w:val="single" w:sz="4" w:space="0" w:color="auto"/>
              <w:right w:val="single" w:sz="4" w:space="0" w:color="auto"/>
            </w:tcBorders>
            <w:shd w:val="clear" w:color="000000" w:fill="FBBBBE"/>
            <w:noWrap/>
            <w:vAlign w:val="bottom"/>
            <w:hideMark/>
          </w:tcPr>
          <w:p w14:paraId="0A8BF8C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7.4%</w:t>
            </w:r>
          </w:p>
        </w:tc>
      </w:tr>
      <w:tr w:rsidR="00BC3D09" w:rsidRPr="00902009" w14:paraId="64A2BF9B"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02A2C20F"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38FB7DB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14:paraId="231274C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558" w:type="dxa"/>
            <w:tcBorders>
              <w:top w:val="nil"/>
              <w:left w:val="nil"/>
              <w:bottom w:val="single" w:sz="4" w:space="0" w:color="auto"/>
              <w:right w:val="single" w:sz="4" w:space="0" w:color="auto"/>
            </w:tcBorders>
            <w:shd w:val="clear" w:color="auto" w:fill="auto"/>
            <w:noWrap/>
            <w:vAlign w:val="bottom"/>
            <w:hideMark/>
          </w:tcPr>
          <w:p w14:paraId="1617CA7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17</w:t>
            </w:r>
          </w:p>
        </w:tc>
        <w:tc>
          <w:tcPr>
            <w:tcW w:w="648" w:type="dxa"/>
            <w:tcBorders>
              <w:top w:val="nil"/>
              <w:left w:val="nil"/>
              <w:bottom w:val="single" w:sz="4" w:space="0" w:color="auto"/>
              <w:right w:val="single" w:sz="4" w:space="0" w:color="auto"/>
            </w:tcBorders>
            <w:shd w:val="clear" w:color="auto" w:fill="auto"/>
            <w:noWrap/>
            <w:vAlign w:val="bottom"/>
            <w:hideMark/>
          </w:tcPr>
          <w:p w14:paraId="29BF29F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83" w:type="dxa"/>
            <w:tcBorders>
              <w:top w:val="nil"/>
              <w:left w:val="nil"/>
              <w:bottom w:val="single" w:sz="4" w:space="0" w:color="auto"/>
              <w:right w:val="single" w:sz="4" w:space="0" w:color="auto"/>
            </w:tcBorders>
            <w:shd w:val="clear" w:color="auto" w:fill="auto"/>
            <w:noWrap/>
            <w:vAlign w:val="bottom"/>
            <w:hideMark/>
          </w:tcPr>
          <w:p w14:paraId="25B9064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43</w:t>
            </w:r>
          </w:p>
        </w:tc>
        <w:tc>
          <w:tcPr>
            <w:tcW w:w="764" w:type="dxa"/>
            <w:tcBorders>
              <w:top w:val="nil"/>
              <w:left w:val="nil"/>
              <w:bottom w:val="single" w:sz="4" w:space="0" w:color="auto"/>
              <w:right w:val="single" w:sz="4" w:space="0" w:color="auto"/>
            </w:tcBorders>
            <w:shd w:val="clear" w:color="auto" w:fill="auto"/>
            <w:noWrap/>
            <w:vAlign w:val="bottom"/>
            <w:hideMark/>
          </w:tcPr>
          <w:p w14:paraId="463291B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44.2%</w:t>
            </w:r>
          </w:p>
        </w:tc>
        <w:tc>
          <w:tcPr>
            <w:tcW w:w="764" w:type="dxa"/>
            <w:tcBorders>
              <w:top w:val="nil"/>
              <w:left w:val="nil"/>
              <w:bottom w:val="single" w:sz="4" w:space="0" w:color="auto"/>
              <w:right w:val="single" w:sz="4" w:space="0" w:color="auto"/>
            </w:tcBorders>
            <w:shd w:val="clear" w:color="auto" w:fill="auto"/>
            <w:noWrap/>
            <w:vAlign w:val="bottom"/>
            <w:hideMark/>
          </w:tcPr>
          <w:p w14:paraId="1D0CA44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39.5%</w:t>
            </w:r>
          </w:p>
        </w:tc>
        <w:tc>
          <w:tcPr>
            <w:tcW w:w="904" w:type="dxa"/>
            <w:tcBorders>
              <w:top w:val="single" w:sz="4" w:space="0" w:color="auto"/>
              <w:left w:val="single" w:sz="4" w:space="0" w:color="auto"/>
              <w:bottom w:val="single" w:sz="4" w:space="0" w:color="auto"/>
              <w:right w:val="single" w:sz="4" w:space="0" w:color="auto"/>
            </w:tcBorders>
            <w:shd w:val="clear" w:color="000000" w:fill="F96D6F"/>
            <w:noWrap/>
            <w:vAlign w:val="bottom"/>
            <w:hideMark/>
          </w:tcPr>
          <w:p w14:paraId="0906CAE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16.3%</w:t>
            </w:r>
          </w:p>
        </w:tc>
      </w:tr>
      <w:tr w:rsidR="00BC3D09" w:rsidRPr="00902009" w14:paraId="0D03984E"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529D8648"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0035645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14:paraId="1B57B5A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120</w:t>
            </w:r>
          </w:p>
        </w:tc>
        <w:tc>
          <w:tcPr>
            <w:tcW w:w="558" w:type="dxa"/>
            <w:tcBorders>
              <w:top w:val="nil"/>
              <w:left w:val="nil"/>
              <w:bottom w:val="single" w:sz="4" w:space="0" w:color="auto"/>
              <w:right w:val="single" w:sz="4" w:space="0" w:color="auto"/>
            </w:tcBorders>
            <w:shd w:val="clear" w:color="auto" w:fill="auto"/>
            <w:noWrap/>
            <w:vAlign w:val="bottom"/>
            <w:hideMark/>
          </w:tcPr>
          <w:p w14:paraId="0EDF884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94</w:t>
            </w:r>
          </w:p>
        </w:tc>
        <w:tc>
          <w:tcPr>
            <w:tcW w:w="648" w:type="dxa"/>
            <w:tcBorders>
              <w:top w:val="nil"/>
              <w:left w:val="nil"/>
              <w:bottom w:val="single" w:sz="4" w:space="0" w:color="auto"/>
              <w:right w:val="single" w:sz="4" w:space="0" w:color="auto"/>
            </w:tcBorders>
            <w:shd w:val="clear" w:color="auto" w:fill="auto"/>
            <w:noWrap/>
            <w:vAlign w:val="bottom"/>
            <w:hideMark/>
          </w:tcPr>
          <w:p w14:paraId="307CDDA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22</w:t>
            </w:r>
          </w:p>
        </w:tc>
        <w:tc>
          <w:tcPr>
            <w:tcW w:w="683" w:type="dxa"/>
            <w:tcBorders>
              <w:top w:val="nil"/>
              <w:left w:val="nil"/>
              <w:bottom w:val="single" w:sz="4" w:space="0" w:color="auto"/>
              <w:right w:val="single" w:sz="4" w:space="0" w:color="auto"/>
            </w:tcBorders>
            <w:shd w:val="clear" w:color="auto" w:fill="auto"/>
            <w:noWrap/>
            <w:vAlign w:val="bottom"/>
            <w:hideMark/>
          </w:tcPr>
          <w:p w14:paraId="414FDD7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236</w:t>
            </w:r>
          </w:p>
        </w:tc>
        <w:tc>
          <w:tcPr>
            <w:tcW w:w="764" w:type="dxa"/>
            <w:tcBorders>
              <w:top w:val="nil"/>
              <w:left w:val="nil"/>
              <w:bottom w:val="single" w:sz="4" w:space="0" w:color="auto"/>
              <w:right w:val="single" w:sz="4" w:space="0" w:color="auto"/>
            </w:tcBorders>
            <w:shd w:val="clear" w:color="auto" w:fill="auto"/>
            <w:noWrap/>
            <w:vAlign w:val="bottom"/>
            <w:hideMark/>
          </w:tcPr>
          <w:p w14:paraId="2FEF952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50.8%</w:t>
            </w:r>
          </w:p>
        </w:tc>
        <w:tc>
          <w:tcPr>
            <w:tcW w:w="764" w:type="dxa"/>
            <w:tcBorders>
              <w:top w:val="nil"/>
              <w:left w:val="nil"/>
              <w:bottom w:val="single" w:sz="4" w:space="0" w:color="auto"/>
              <w:right w:val="single" w:sz="4" w:space="0" w:color="auto"/>
            </w:tcBorders>
            <w:shd w:val="clear" w:color="auto" w:fill="auto"/>
            <w:noWrap/>
            <w:vAlign w:val="bottom"/>
            <w:hideMark/>
          </w:tcPr>
          <w:p w14:paraId="153A46E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39.8%</w:t>
            </w:r>
          </w:p>
        </w:tc>
        <w:tc>
          <w:tcPr>
            <w:tcW w:w="904" w:type="dxa"/>
            <w:tcBorders>
              <w:top w:val="single" w:sz="4" w:space="0" w:color="auto"/>
              <w:left w:val="single" w:sz="4" w:space="0" w:color="auto"/>
              <w:bottom w:val="single" w:sz="4" w:space="0" w:color="auto"/>
              <w:right w:val="single" w:sz="4" w:space="0" w:color="auto"/>
            </w:tcBorders>
            <w:shd w:val="clear" w:color="000000" w:fill="FAAAAD"/>
            <w:noWrap/>
            <w:vAlign w:val="bottom"/>
            <w:hideMark/>
          </w:tcPr>
          <w:p w14:paraId="77BF9D5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9.3%</w:t>
            </w:r>
          </w:p>
        </w:tc>
      </w:tr>
      <w:tr w:rsidR="00BC3D09" w:rsidRPr="00902009" w14:paraId="582009B2"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5DF69451"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Mono Basin</w:t>
            </w:r>
          </w:p>
        </w:tc>
        <w:tc>
          <w:tcPr>
            <w:tcW w:w="817" w:type="dxa"/>
            <w:tcBorders>
              <w:top w:val="nil"/>
              <w:left w:val="nil"/>
              <w:bottom w:val="single" w:sz="4" w:space="0" w:color="auto"/>
              <w:right w:val="single" w:sz="4" w:space="0" w:color="auto"/>
            </w:tcBorders>
            <w:shd w:val="clear" w:color="auto" w:fill="auto"/>
            <w:noWrap/>
            <w:vAlign w:val="bottom"/>
            <w:hideMark/>
          </w:tcPr>
          <w:p w14:paraId="57A4D92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14:paraId="6A2C161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78</w:t>
            </w:r>
          </w:p>
        </w:tc>
        <w:tc>
          <w:tcPr>
            <w:tcW w:w="558" w:type="dxa"/>
            <w:tcBorders>
              <w:top w:val="nil"/>
              <w:left w:val="nil"/>
              <w:bottom w:val="single" w:sz="4" w:space="0" w:color="auto"/>
              <w:right w:val="single" w:sz="4" w:space="0" w:color="auto"/>
            </w:tcBorders>
            <w:shd w:val="clear" w:color="auto" w:fill="auto"/>
            <w:noWrap/>
            <w:vAlign w:val="bottom"/>
            <w:hideMark/>
          </w:tcPr>
          <w:p w14:paraId="3859726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w:t>
            </w:r>
          </w:p>
        </w:tc>
        <w:tc>
          <w:tcPr>
            <w:tcW w:w="648" w:type="dxa"/>
            <w:tcBorders>
              <w:top w:val="nil"/>
              <w:left w:val="nil"/>
              <w:bottom w:val="single" w:sz="4" w:space="0" w:color="auto"/>
              <w:right w:val="single" w:sz="4" w:space="0" w:color="auto"/>
            </w:tcBorders>
            <w:shd w:val="clear" w:color="auto" w:fill="auto"/>
            <w:noWrap/>
            <w:vAlign w:val="bottom"/>
            <w:hideMark/>
          </w:tcPr>
          <w:p w14:paraId="5A86129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83" w:type="dxa"/>
            <w:tcBorders>
              <w:top w:val="nil"/>
              <w:left w:val="nil"/>
              <w:bottom w:val="single" w:sz="4" w:space="0" w:color="auto"/>
              <w:right w:val="single" w:sz="4" w:space="0" w:color="auto"/>
            </w:tcBorders>
            <w:shd w:val="clear" w:color="auto" w:fill="auto"/>
            <w:noWrap/>
            <w:vAlign w:val="bottom"/>
            <w:hideMark/>
          </w:tcPr>
          <w:p w14:paraId="6484D1E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117</w:t>
            </w:r>
          </w:p>
        </w:tc>
        <w:tc>
          <w:tcPr>
            <w:tcW w:w="764" w:type="dxa"/>
            <w:tcBorders>
              <w:top w:val="nil"/>
              <w:left w:val="nil"/>
              <w:bottom w:val="single" w:sz="4" w:space="0" w:color="auto"/>
              <w:right w:val="single" w:sz="4" w:space="0" w:color="auto"/>
            </w:tcBorders>
            <w:shd w:val="clear" w:color="auto" w:fill="auto"/>
            <w:noWrap/>
            <w:vAlign w:val="bottom"/>
            <w:hideMark/>
          </w:tcPr>
          <w:p w14:paraId="5676301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66.7%</w:t>
            </w:r>
          </w:p>
        </w:tc>
        <w:tc>
          <w:tcPr>
            <w:tcW w:w="764" w:type="dxa"/>
            <w:tcBorders>
              <w:top w:val="nil"/>
              <w:left w:val="nil"/>
              <w:bottom w:val="single" w:sz="4" w:space="0" w:color="auto"/>
              <w:right w:val="single" w:sz="4" w:space="0" w:color="auto"/>
            </w:tcBorders>
            <w:shd w:val="clear" w:color="auto" w:fill="auto"/>
            <w:noWrap/>
            <w:vAlign w:val="bottom"/>
            <w:hideMark/>
          </w:tcPr>
          <w:p w14:paraId="0F20992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28.2%</w:t>
            </w:r>
          </w:p>
        </w:tc>
        <w:tc>
          <w:tcPr>
            <w:tcW w:w="904" w:type="dxa"/>
            <w:tcBorders>
              <w:top w:val="single" w:sz="4" w:space="0" w:color="auto"/>
              <w:left w:val="single" w:sz="4" w:space="0" w:color="auto"/>
              <w:bottom w:val="single" w:sz="4" w:space="0" w:color="auto"/>
              <w:right w:val="single" w:sz="4" w:space="0" w:color="auto"/>
            </w:tcBorders>
            <w:shd w:val="clear" w:color="000000" w:fill="FBCFD2"/>
            <w:noWrap/>
            <w:vAlign w:val="bottom"/>
            <w:hideMark/>
          </w:tcPr>
          <w:p w14:paraId="70A07E7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5.1%</w:t>
            </w:r>
          </w:p>
        </w:tc>
      </w:tr>
      <w:tr w:rsidR="00BC3D09" w:rsidRPr="00902009" w14:paraId="0B0DC45F"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6020DEAF"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680BC46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14:paraId="267B762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w:t>
            </w:r>
          </w:p>
        </w:tc>
        <w:tc>
          <w:tcPr>
            <w:tcW w:w="558" w:type="dxa"/>
            <w:tcBorders>
              <w:top w:val="nil"/>
              <w:left w:val="nil"/>
              <w:bottom w:val="single" w:sz="4" w:space="0" w:color="auto"/>
              <w:right w:val="single" w:sz="4" w:space="0" w:color="auto"/>
            </w:tcBorders>
            <w:shd w:val="clear" w:color="auto" w:fill="auto"/>
            <w:noWrap/>
            <w:vAlign w:val="bottom"/>
            <w:hideMark/>
          </w:tcPr>
          <w:p w14:paraId="6971310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48" w:type="dxa"/>
            <w:tcBorders>
              <w:top w:val="nil"/>
              <w:left w:val="nil"/>
              <w:bottom w:val="single" w:sz="4" w:space="0" w:color="auto"/>
              <w:right w:val="single" w:sz="4" w:space="0" w:color="auto"/>
            </w:tcBorders>
            <w:shd w:val="clear" w:color="auto" w:fill="auto"/>
            <w:noWrap/>
            <w:vAlign w:val="bottom"/>
            <w:hideMark/>
          </w:tcPr>
          <w:p w14:paraId="3672B87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83" w:type="dxa"/>
            <w:tcBorders>
              <w:top w:val="nil"/>
              <w:left w:val="nil"/>
              <w:bottom w:val="single" w:sz="4" w:space="0" w:color="auto"/>
              <w:right w:val="single" w:sz="4" w:space="0" w:color="auto"/>
            </w:tcBorders>
            <w:shd w:val="clear" w:color="auto" w:fill="auto"/>
            <w:noWrap/>
            <w:vAlign w:val="bottom"/>
            <w:hideMark/>
          </w:tcPr>
          <w:p w14:paraId="6A1BFF7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764" w:type="dxa"/>
            <w:tcBorders>
              <w:top w:val="nil"/>
              <w:left w:val="nil"/>
              <w:bottom w:val="single" w:sz="4" w:space="0" w:color="auto"/>
              <w:right w:val="single" w:sz="4" w:space="0" w:color="auto"/>
            </w:tcBorders>
            <w:shd w:val="clear" w:color="auto" w:fill="auto"/>
            <w:noWrap/>
            <w:vAlign w:val="bottom"/>
            <w:hideMark/>
          </w:tcPr>
          <w:p w14:paraId="4F24DF6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86.7%</w:t>
            </w:r>
          </w:p>
        </w:tc>
        <w:tc>
          <w:tcPr>
            <w:tcW w:w="764" w:type="dxa"/>
            <w:tcBorders>
              <w:top w:val="nil"/>
              <w:left w:val="nil"/>
              <w:bottom w:val="single" w:sz="4" w:space="0" w:color="auto"/>
              <w:right w:val="single" w:sz="4" w:space="0" w:color="auto"/>
            </w:tcBorders>
            <w:shd w:val="clear" w:color="auto" w:fill="auto"/>
            <w:noWrap/>
            <w:vAlign w:val="bottom"/>
            <w:hideMark/>
          </w:tcPr>
          <w:p w14:paraId="549A9A4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13.3%</w:t>
            </w:r>
          </w:p>
        </w:tc>
        <w:tc>
          <w:tcPr>
            <w:tcW w:w="90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A1E64C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0.0%</w:t>
            </w:r>
          </w:p>
        </w:tc>
      </w:tr>
      <w:tr w:rsidR="00BC3D09" w:rsidRPr="00902009" w14:paraId="2F39093D"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2A333752"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09DE113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14:paraId="27474F5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91</w:t>
            </w:r>
          </w:p>
        </w:tc>
        <w:tc>
          <w:tcPr>
            <w:tcW w:w="558" w:type="dxa"/>
            <w:tcBorders>
              <w:top w:val="nil"/>
              <w:left w:val="nil"/>
              <w:bottom w:val="single" w:sz="4" w:space="0" w:color="auto"/>
              <w:right w:val="single" w:sz="4" w:space="0" w:color="auto"/>
            </w:tcBorders>
            <w:shd w:val="clear" w:color="auto" w:fill="auto"/>
            <w:noWrap/>
            <w:vAlign w:val="bottom"/>
            <w:hideMark/>
          </w:tcPr>
          <w:p w14:paraId="75BA6BD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35</w:t>
            </w:r>
          </w:p>
        </w:tc>
        <w:tc>
          <w:tcPr>
            <w:tcW w:w="648" w:type="dxa"/>
            <w:tcBorders>
              <w:top w:val="nil"/>
              <w:left w:val="nil"/>
              <w:bottom w:val="single" w:sz="4" w:space="0" w:color="auto"/>
              <w:right w:val="single" w:sz="4" w:space="0" w:color="auto"/>
            </w:tcBorders>
            <w:shd w:val="clear" w:color="auto" w:fill="auto"/>
            <w:noWrap/>
            <w:vAlign w:val="bottom"/>
            <w:hideMark/>
          </w:tcPr>
          <w:p w14:paraId="0BC8887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83" w:type="dxa"/>
            <w:tcBorders>
              <w:top w:val="nil"/>
              <w:left w:val="nil"/>
              <w:bottom w:val="single" w:sz="4" w:space="0" w:color="auto"/>
              <w:right w:val="single" w:sz="4" w:space="0" w:color="auto"/>
            </w:tcBorders>
            <w:shd w:val="clear" w:color="auto" w:fill="auto"/>
            <w:noWrap/>
            <w:vAlign w:val="bottom"/>
            <w:hideMark/>
          </w:tcPr>
          <w:p w14:paraId="2727802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132</w:t>
            </w:r>
          </w:p>
        </w:tc>
        <w:tc>
          <w:tcPr>
            <w:tcW w:w="764" w:type="dxa"/>
            <w:tcBorders>
              <w:top w:val="nil"/>
              <w:left w:val="nil"/>
              <w:bottom w:val="single" w:sz="4" w:space="0" w:color="auto"/>
              <w:right w:val="single" w:sz="4" w:space="0" w:color="auto"/>
            </w:tcBorders>
            <w:shd w:val="clear" w:color="auto" w:fill="auto"/>
            <w:noWrap/>
            <w:vAlign w:val="bottom"/>
            <w:hideMark/>
          </w:tcPr>
          <w:p w14:paraId="316CA3A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68.9%</w:t>
            </w:r>
          </w:p>
        </w:tc>
        <w:tc>
          <w:tcPr>
            <w:tcW w:w="764" w:type="dxa"/>
            <w:tcBorders>
              <w:top w:val="nil"/>
              <w:left w:val="nil"/>
              <w:bottom w:val="single" w:sz="4" w:space="0" w:color="auto"/>
              <w:right w:val="single" w:sz="4" w:space="0" w:color="auto"/>
            </w:tcBorders>
            <w:shd w:val="clear" w:color="auto" w:fill="auto"/>
            <w:noWrap/>
            <w:vAlign w:val="bottom"/>
            <w:hideMark/>
          </w:tcPr>
          <w:p w14:paraId="2FCFE43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26.5%</w:t>
            </w:r>
          </w:p>
        </w:tc>
        <w:tc>
          <w:tcPr>
            <w:tcW w:w="904" w:type="dxa"/>
            <w:tcBorders>
              <w:top w:val="single" w:sz="4" w:space="0" w:color="auto"/>
              <w:left w:val="single" w:sz="4" w:space="0" w:color="auto"/>
              <w:bottom w:val="single" w:sz="4" w:space="0" w:color="auto"/>
              <w:right w:val="single" w:sz="4" w:space="0" w:color="auto"/>
            </w:tcBorders>
            <w:shd w:val="clear" w:color="000000" w:fill="FBD4D7"/>
            <w:noWrap/>
            <w:vAlign w:val="bottom"/>
            <w:hideMark/>
          </w:tcPr>
          <w:p w14:paraId="5572C69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4.5%</w:t>
            </w:r>
          </w:p>
        </w:tc>
      </w:tr>
      <w:tr w:rsidR="00BC3D09" w:rsidRPr="00902009" w14:paraId="0BB74006"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3A242B19"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June Lake</w:t>
            </w:r>
          </w:p>
        </w:tc>
        <w:tc>
          <w:tcPr>
            <w:tcW w:w="817" w:type="dxa"/>
            <w:tcBorders>
              <w:top w:val="nil"/>
              <w:left w:val="nil"/>
              <w:bottom w:val="single" w:sz="4" w:space="0" w:color="auto"/>
              <w:right w:val="single" w:sz="4" w:space="0" w:color="auto"/>
            </w:tcBorders>
            <w:shd w:val="clear" w:color="auto" w:fill="auto"/>
            <w:noWrap/>
            <w:vAlign w:val="bottom"/>
            <w:hideMark/>
          </w:tcPr>
          <w:p w14:paraId="189631E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14:paraId="550634C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261</w:t>
            </w:r>
          </w:p>
        </w:tc>
        <w:tc>
          <w:tcPr>
            <w:tcW w:w="558" w:type="dxa"/>
            <w:tcBorders>
              <w:top w:val="nil"/>
              <w:left w:val="nil"/>
              <w:bottom w:val="single" w:sz="4" w:space="0" w:color="auto"/>
              <w:right w:val="single" w:sz="4" w:space="0" w:color="auto"/>
            </w:tcBorders>
            <w:shd w:val="clear" w:color="auto" w:fill="auto"/>
            <w:noWrap/>
            <w:vAlign w:val="bottom"/>
            <w:hideMark/>
          </w:tcPr>
          <w:p w14:paraId="6A2299E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140</w:t>
            </w:r>
          </w:p>
        </w:tc>
        <w:tc>
          <w:tcPr>
            <w:tcW w:w="648" w:type="dxa"/>
            <w:tcBorders>
              <w:top w:val="nil"/>
              <w:left w:val="nil"/>
              <w:bottom w:val="single" w:sz="4" w:space="0" w:color="auto"/>
              <w:right w:val="single" w:sz="4" w:space="0" w:color="auto"/>
            </w:tcBorders>
            <w:shd w:val="clear" w:color="auto" w:fill="auto"/>
            <w:noWrap/>
            <w:vAlign w:val="bottom"/>
            <w:hideMark/>
          </w:tcPr>
          <w:p w14:paraId="4C77A2F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18</w:t>
            </w:r>
          </w:p>
        </w:tc>
        <w:tc>
          <w:tcPr>
            <w:tcW w:w="683" w:type="dxa"/>
            <w:tcBorders>
              <w:top w:val="nil"/>
              <w:left w:val="nil"/>
              <w:bottom w:val="single" w:sz="4" w:space="0" w:color="auto"/>
              <w:right w:val="single" w:sz="4" w:space="0" w:color="auto"/>
            </w:tcBorders>
            <w:shd w:val="clear" w:color="auto" w:fill="auto"/>
            <w:noWrap/>
            <w:vAlign w:val="bottom"/>
            <w:hideMark/>
          </w:tcPr>
          <w:p w14:paraId="24B49CD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419</w:t>
            </w:r>
          </w:p>
        </w:tc>
        <w:tc>
          <w:tcPr>
            <w:tcW w:w="764" w:type="dxa"/>
            <w:tcBorders>
              <w:top w:val="nil"/>
              <w:left w:val="nil"/>
              <w:bottom w:val="single" w:sz="4" w:space="0" w:color="auto"/>
              <w:right w:val="single" w:sz="4" w:space="0" w:color="auto"/>
            </w:tcBorders>
            <w:shd w:val="clear" w:color="auto" w:fill="auto"/>
            <w:noWrap/>
            <w:vAlign w:val="bottom"/>
            <w:hideMark/>
          </w:tcPr>
          <w:p w14:paraId="3FF221F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62.3%</w:t>
            </w:r>
          </w:p>
        </w:tc>
        <w:tc>
          <w:tcPr>
            <w:tcW w:w="764" w:type="dxa"/>
            <w:tcBorders>
              <w:top w:val="nil"/>
              <w:left w:val="nil"/>
              <w:bottom w:val="single" w:sz="4" w:space="0" w:color="auto"/>
              <w:right w:val="single" w:sz="4" w:space="0" w:color="auto"/>
            </w:tcBorders>
            <w:shd w:val="clear" w:color="auto" w:fill="auto"/>
            <w:noWrap/>
            <w:vAlign w:val="bottom"/>
            <w:hideMark/>
          </w:tcPr>
          <w:p w14:paraId="470E31F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33.4%</w:t>
            </w:r>
          </w:p>
        </w:tc>
        <w:tc>
          <w:tcPr>
            <w:tcW w:w="904" w:type="dxa"/>
            <w:tcBorders>
              <w:top w:val="single" w:sz="4" w:space="0" w:color="auto"/>
              <w:left w:val="single" w:sz="4" w:space="0" w:color="auto"/>
              <w:bottom w:val="single" w:sz="4" w:space="0" w:color="auto"/>
              <w:right w:val="single" w:sz="4" w:space="0" w:color="auto"/>
            </w:tcBorders>
            <w:shd w:val="clear" w:color="000000" w:fill="FBD7D9"/>
            <w:noWrap/>
            <w:vAlign w:val="bottom"/>
            <w:hideMark/>
          </w:tcPr>
          <w:p w14:paraId="069E8DE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4.3%</w:t>
            </w:r>
          </w:p>
        </w:tc>
      </w:tr>
      <w:tr w:rsidR="00BC3D09" w:rsidRPr="00902009" w14:paraId="53666750"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101FDCE1"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31696E2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14:paraId="34B3431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w:t>
            </w:r>
          </w:p>
        </w:tc>
        <w:tc>
          <w:tcPr>
            <w:tcW w:w="558" w:type="dxa"/>
            <w:tcBorders>
              <w:top w:val="nil"/>
              <w:left w:val="nil"/>
              <w:bottom w:val="single" w:sz="4" w:space="0" w:color="auto"/>
              <w:right w:val="single" w:sz="4" w:space="0" w:color="auto"/>
            </w:tcBorders>
            <w:shd w:val="clear" w:color="auto" w:fill="auto"/>
            <w:noWrap/>
            <w:vAlign w:val="bottom"/>
            <w:hideMark/>
          </w:tcPr>
          <w:p w14:paraId="5C21349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48" w:type="dxa"/>
            <w:tcBorders>
              <w:top w:val="nil"/>
              <w:left w:val="nil"/>
              <w:bottom w:val="single" w:sz="4" w:space="0" w:color="auto"/>
              <w:right w:val="single" w:sz="4" w:space="0" w:color="auto"/>
            </w:tcBorders>
            <w:shd w:val="clear" w:color="auto" w:fill="auto"/>
            <w:noWrap/>
            <w:vAlign w:val="bottom"/>
            <w:hideMark/>
          </w:tcPr>
          <w:p w14:paraId="00EBC5B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83" w:type="dxa"/>
            <w:tcBorders>
              <w:top w:val="nil"/>
              <w:left w:val="nil"/>
              <w:bottom w:val="single" w:sz="4" w:space="0" w:color="auto"/>
              <w:right w:val="single" w:sz="4" w:space="0" w:color="auto"/>
            </w:tcBorders>
            <w:shd w:val="clear" w:color="auto" w:fill="auto"/>
            <w:noWrap/>
            <w:vAlign w:val="bottom"/>
            <w:hideMark/>
          </w:tcPr>
          <w:p w14:paraId="700D128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w:t>
            </w:r>
          </w:p>
        </w:tc>
        <w:tc>
          <w:tcPr>
            <w:tcW w:w="764" w:type="dxa"/>
            <w:tcBorders>
              <w:top w:val="nil"/>
              <w:left w:val="nil"/>
              <w:bottom w:val="single" w:sz="4" w:space="0" w:color="auto"/>
              <w:right w:val="single" w:sz="4" w:space="0" w:color="auto"/>
            </w:tcBorders>
            <w:shd w:val="clear" w:color="auto" w:fill="auto"/>
            <w:noWrap/>
            <w:vAlign w:val="bottom"/>
            <w:hideMark/>
          </w:tcPr>
          <w:p w14:paraId="408C104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66.7%</w:t>
            </w:r>
          </w:p>
        </w:tc>
        <w:tc>
          <w:tcPr>
            <w:tcW w:w="764" w:type="dxa"/>
            <w:tcBorders>
              <w:top w:val="nil"/>
              <w:left w:val="nil"/>
              <w:bottom w:val="single" w:sz="4" w:space="0" w:color="auto"/>
              <w:right w:val="single" w:sz="4" w:space="0" w:color="auto"/>
            </w:tcBorders>
            <w:shd w:val="clear" w:color="auto" w:fill="auto"/>
            <w:noWrap/>
            <w:vAlign w:val="bottom"/>
            <w:hideMark/>
          </w:tcPr>
          <w:p w14:paraId="5859F76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16.7%</w:t>
            </w:r>
          </w:p>
        </w:tc>
        <w:tc>
          <w:tcPr>
            <w:tcW w:w="90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E75AC7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16.7%</w:t>
            </w:r>
          </w:p>
        </w:tc>
      </w:tr>
      <w:tr w:rsidR="00BC3D09" w:rsidRPr="00902009" w14:paraId="62C6D710"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1A963B3C"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106B381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14:paraId="7C5405F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265</w:t>
            </w:r>
          </w:p>
        </w:tc>
        <w:tc>
          <w:tcPr>
            <w:tcW w:w="558" w:type="dxa"/>
            <w:tcBorders>
              <w:top w:val="nil"/>
              <w:left w:val="nil"/>
              <w:bottom w:val="single" w:sz="4" w:space="0" w:color="auto"/>
              <w:right w:val="single" w:sz="4" w:space="0" w:color="auto"/>
            </w:tcBorders>
            <w:shd w:val="clear" w:color="auto" w:fill="auto"/>
            <w:noWrap/>
            <w:vAlign w:val="bottom"/>
            <w:hideMark/>
          </w:tcPr>
          <w:p w14:paraId="3E761B1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141</w:t>
            </w:r>
          </w:p>
        </w:tc>
        <w:tc>
          <w:tcPr>
            <w:tcW w:w="648" w:type="dxa"/>
            <w:tcBorders>
              <w:top w:val="nil"/>
              <w:left w:val="nil"/>
              <w:bottom w:val="single" w:sz="4" w:space="0" w:color="auto"/>
              <w:right w:val="single" w:sz="4" w:space="0" w:color="auto"/>
            </w:tcBorders>
            <w:shd w:val="clear" w:color="auto" w:fill="auto"/>
            <w:noWrap/>
            <w:vAlign w:val="bottom"/>
            <w:hideMark/>
          </w:tcPr>
          <w:p w14:paraId="53F92D8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83" w:type="dxa"/>
            <w:tcBorders>
              <w:top w:val="nil"/>
              <w:left w:val="nil"/>
              <w:bottom w:val="single" w:sz="4" w:space="0" w:color="auto"/>
              <w:right w:val="single" w:sz="4" w:space="0" w:color="auto"/>
            </w:tcBorders>
            <w:shd w:val="clear" w:color="auto" w:fill="auto"/>
            <w:noWrap/>
            <w:vAlign w:val="bottom"/>
            <w:hideMark/>
          </w:tcPr>
          <w:p w14:paraId="1954390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425</w:t>
            </w:r>
          </w:p>
        </w:tc>
        <w:tc>
          <w:tcPr>
            <w:tcW w:w="764" w:type="dxa"/>
            <w:tcBorders>
              <w:top w:val="nil"/>
              <w:left w:val="nil"/>
              <w:bottom w:val="single" w:sz="4" w:space="0" w:color="auto"/>
              <w:right w:val="single" w:sz="4" w:space="0" w:color="auto"/>
            </w:tcBorders>
            <w:shd w:val="clear" w:color="auto" w:fill="auto"/>
            <w:noWrap/>
            <w:vAlign w:val="bottom"/>
            <w:hideMark/>
          </w:tcPr>
          <w:p w14:paraId="4F1DC3F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62.4%</w:t>
            </w:r>
          </w:p>
        </w:tc>
        <w:tc>
          <w:tcPr>
            <w:tcW w:w="764" w:type="dxa"/>
            <w:tcBorders>
              <w:top w:val="nil"/>
              <w:left w:val="nil"/>
              <w:bottom w:val="single" w:sz="4" w:space="0" w:color="auto"/>
              <w:right w:val="single" w:sz="4" w:space="0" w:color="auto"/>
            </w:tcBorders>
            <w:shd w:val="clear" w:color="auto" w:fill="auto"/>
            <w:noWrap/>
            <w:vAlign w:val="bottom"/>
            <w:hideMark/>
          </w:tcPr>
          <w:p w14:paraId="43F3106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33.2%</w:t>
            </w:r>
          </w:p>
        </w:tc>
        <w:tc>
          <w:tcPr>
            <w:tcW w:w="904" w:type="dxa"/>
            <w:tcBorders>
              <w:top w:val="single" w:sz="4" w:space="0" w:color="auto"/>
              <w:left w:val="single" w:sz="4" w:space="0" w:color="auto"/>
              <w:bottom w:val="single" w:sz="4" w:space="0" w:color="auto"/>
              <w:right w:val="single" w:sz="4" w:space="0" w:color="auto"/>
            </w:tcBorders>
            <w:shd w:val="clear" w:color="000000" w:fill="FBD5D8"/>
            <w:noWrap/>
            <w:vAlign w:val="bottom"/>
            <w:hideMark/>
          </w:tcPr>
          <w:p w14:paraId="5EC9121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4.5%</w:t>
            </w:r>
          </w:p>
        </w:tc>
      </w:tr>
      <w:tr w:rsidR="00BC3D09" w:rsidRPr="00902009" w14:paraId="1DECE597"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01356632"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Long Valley</w:t>
            </w:r>
          </w:p>
        </w:tc>
        <w:tc>
          <w:tcPr>
            <w:tcW w:w="817" w:type="dxa"/>
            <w:tcBorders>
              <w:top w:val="nil"/>
              <w:left w:val="nil"/>
              <w:bottom w:val="single" w:sz="4" w:space="0" w:color="auto"/>
              <w:right w:val="single" w:sz="4" w:space="0" w:color="auto"/>
            </w:tcBorders>
            <w:shd w:val="clear" w:color="auto" w:fill="auto"/>
            <w:noWrap/>
            <w:vAlign w:val="bottom"/>
            <w:hideMark/>
          </w:tcPr>
          <w:p w14:paraId="789E366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14:paraId="689AB82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495</w:t>
            </w:r>
          </w:p>
        </w:tc>
        <w:tc>
          <w:tcPr>
            <w:tcW w:w="558" w:type="dxa"/>
            <w:tcBorders>
              <w:top w:val="nil"/>
              <w:left w:val="nil"/>
              <w:bottom w:val="single" w:sz="4" w:space="0" w:color="auto"/>
              <w:right w:val="single" w:sz="4" w:space="0" w:color="auto"/>
            </w:tcBorders>
            <w:shd w:val="clear" w:color="auto" w:fill="auto"/>
            <w:noWrap/>
            <w:vAlign w:val="bottom"/>
            <w:hideMark/>
          </w:tcPr>
          <w:p w14:paraId="1297C3B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102</w:t>
            </w:r>
          </w:p>
        </w:tc>
        <w:tc>
          <w:tcPr>
            <w:tcW w:w="648" w:type="dxa"/>
            <w:tcBorders>
              <w:top w:val="nil"/>
              <w:left w:val="nil"/>
              <w:bottom w:val="single" w:sz="4" w:space="0" w:color="auto"/>
              <w:right w:val="single" w:sz="4" w:space="0" w:color="auto"/>
            </w:tcBorders>
            <w:shd w:val="clear" w:color="auto" w:fill="auto"/>
            <w:noWrap/>
            <w:vAlign w:val="bottom"/>
            <w:hideMark/>
          </w:tcPr>
          <w:p w14:paraId="633B9CD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w:t>
            </w:r>
          </w:p>
        </w:tc>
        <w:tc>
          <w:tcPr>
            <w:tcW w:w="683" w:type="dxa"/>
            <w:tcBorders>
              <w:top w:val="nil"/>
              <w:left w:val="nil"/>
              <w:bottom w:val="single" w:sz="4" w:space="0" w:color="auto"/>
              <w:right w:val="single" w:sz="4" w:space="0" w:color="auto"/>
            </w:tcBorders>
            <w:shd w:val="clear" w:color="auto" w:fill="auto"/>
            <w:noWrap/>
            <w:vAlign w:val="bottom"/>
            <w:hideMark/>
          </w:tcPr>
          <w:p w14:paraId="00FBE24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602</w:t>
            </w:r>
          </w:p>
        </w:tc>
        <w:tc>
          <w:tcPr>
            <w:tcW w:w="764" w:type="dxa"/>
            <w:tcBorders>
              <w:top w:val="nil"/>
              <w:left w:val="nil"/>
              <w:bottom w:val="single" w:sz="4" w:space="0" w:color="auto"/>
              <w:right w:val="single" w:sz="4" w:space="0" w:color="auto"/>
            </w:tcBorders>
            <w:shd w:val="clear" w:color="auto" w:fill="auto"/>
            <w:noWrap/>
            <w:vAlign w:val="bottom"/>
            <w:hideMark/>
          </w:tcPr>
          <w:p w14:paraId="5A23B9C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82.2%</w:t>
            </w:r>
          </w:p>
        </w:tc>
        <w:tc>
          <w:tcPr>
            <w:tcW w:w="764" w:type="dxa"/>
            <w:tcBorders>
              <w:top w:val="nil"/>
              <w:left w:val="nil"/>
              <w:bottom w:val="single" w:sz="4" w:space="0" w:color="auto"/>
              <w:right w:val="single" w:sz="4" w:space="0" w:color="auto"/>
            </w:tcBorders>
            <w:shd w:val="clear" w:color="auto" w:fill="auto"/>
            <w:noWrap/>
            <w:vAlign w:val="bottom"/>
            <w:hideMark/>
          </w:tcPr>
          <w:p w14:paraId="279A927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16.9%</w:t>
            </w:r>
          </w:p>
        </w:tc>
        <w:tc>
          <w:tcPr>
            <w:tcW w:w="904" w:type="dxa"/>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6FF17A4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0.8%</w:t>
            </w:r>
          </w:p>
        </w:tc>
      </w:tr>
      <w:tr w:rsidR="00BC3D09" w:rsidRPr="00902009" w14:paraId="2350DBE3"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243085A2"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74835F0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14:paraId="6EE1A52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14:paraId="618A7F2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48" w:type="dxa"/>
            <w:tcBorders>
              <w:top w:val="nil"/>
              <w:left w:val="nil"/>
              <w:bottom w:val="single" w:sz="4" w:space="0" w:color="auto"/>
              <w:right w:val="single" w:sz="4" w:space="0" w:color="auto"/>
            </w:tcBorders>
            <w:shd w:val="clear" w:color="auto" w:fill="auto"/>
            <w:noWrap/>
            <w:vAlign w:val="bottom"/>
            <w:hideMark/>
          </w:tcPr>
          <w:p w14:paraId="193C998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83" w:type="dxa"/>
            <w:tcBorders>
              <w:top w:val="nil"/>
              <w:left w:val="nil"/>
              <w:bottom w:val="single" w:sz="4" w:space="0" w:color="auto"/>
              <w:right w:val="single" w:sz="4" w:space="0" w:color="auto"/>
            </w:tcBorders>
            <w:shd w:val="clear" w:color="auto" w:fill="auto"/>
            <w:noWrap/>
            <w:vAlign w:val="bottom"/>
            <w:hideMark/>
          </w:tcPr>
          <w:p w14:paraId="44DA261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764" w:type="dxa"/>
            <w:tcBorders>
              <w:top w:val="nil"/>
              <w:left w:val="nil"/>
              <w:bottom w:val="single" w:sz="4" w:space="0" w:color="auto"/>
              <w:right w:val="single" w:sz="4" w:space="0" w:color="auto"/>
            </w:tcBorders>
            <w:shd w:val="clear" w:color="auto" w:fill="auto"/>
            <w:noWrap/>
            <w:vAlign w:val="bottom"/>
            <w:hideMark/>
          </w:tcPr>
          <w:p w14:paraId="7FF3D84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66.7%</w:t>
            </w:r>
          </w:p>
        </w:tc>
        <w:tc>
          <w:tcPr>
            <w:tcW w:w="764" w:type="dxa"/>
            <w:tcBorders>
              <w:top w:val="nil"/>
              <w:left w:val="nil"/>
              <w:bottom w:val="single" w:sz="4" w:space="0" w:color="auto"/>
              <w:right w:val="single" w:sz="4" w:space="0" w:color="auto"/>
            </w:tcBorders>
            <w:shd w:val="clear" w:color="auto" w:fill="auto"/>
            <w:noWrap/>
            <w:vAlign w:val="bottom"/>
            <w:hideMark/>
          </w:tcPr>
          <w:p w14:paraId="48BC33A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33.3%</w:t>
            </w:r>
          </w:p>
        </w:tc>
        <w:tc>
          <w:tcPr>
            <w:tcW w:w="90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716087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0.0%</w:t>
            </w:r>
          </w:p>
        </w:tc>
      </w:tr>
      <w:tr w:rsidR="00BC3D09" w:rsidRPr="00902009" w14:paraId="21B57BA5"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70104EBB"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3CA94FC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14:paraId="466631E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497</w:t>
            </w:r>
          </w:p>
        </w:tc>
        <w:tc>
          <w:tcPr>
            <w:tcW w:w="558" w:type="dxa"/>
            <w:tcBorders>
              <w:top w:val="nil"/>
              <w:left w:val="nil"/>
              <w:bottom w:val="single" w:sz="4" w:space="0" w:color="auto"/>
              <w:right w:val="single" w:sz="4" w:space="0" w:color="auto"/>
            </w:tcBorders>
            <w:shd w:val="clear" w:color="auto" w:fill="auto"/>
            <w:noWrap/>
            <w:vAlign w:val="bottom"/>
            <w:hideMark/>
          </w:tcPr>
          <w:p w14:paraId="59943B2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103</w:t>
            </w:r>
          </w:p>
        </w:tc>
        <w:tc>
          <w:tcPr>
            <w:tcW w:w="648" w:type="dxa"/>
            <w:tcBorders>
              <w:top w:val="nil"/>
              <w:left w:val="nil"/>
              <w:bottom w:val="single" w:sz="4" w:space="0" w:color="auto"/>
              <w:right w:val="single" w:sz="4" w:space="0" w:color="auto"/>
            </w:tcBorders>
            <w:shd w:val="clear" w:color="auto" w:fill="auto"/>
            <w:noWrap/>
            <w:vAlign w:val="bottom"/>
            <w:hideMark/>
          </w:tcPr>
          <w:p w14:paraId="26AD829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w:t>
            </w:r>
          </w:p>
        </w:tc>
        <w:tc>
          <w:tcPr>
            <w:tcW w:w="683" w:type="dxa"/>
            <w:tcBorders>
              <w:top w:val="nil"/>
              <w:left w:val="nil"/>
              <w:bottom w:val="single" w:sz="4" w:space="0" w:color="auto"/>
              <w:right w:val="single" w:sz="4" w:space="0" w:color="auto"/>
            </w:tcBorders>
            <w:shd w:val="clear" w:color="auto" w:fill="auto"/>
            <w:noWrap/>
            <w:vAlign w:val="bottom"/>
            <w:hideMark/>
          </w:tcPr>
          <w:p w14:paraId="69786CC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605</w:t>
            </w:r>
          </w:p>
        </w:tc>
        <w:tc>
          <w:tcPr>
            <w:tcW w:w="764" w:type="dxa"/>
            <w:tcBorders>
              <w:top w:val="nil"/>
              <w:left w:val="nil"/>
              <w:bottom w:val="single" w:sz="4" w:space="0" w:color="auto"/>
              <w:right w:val="single" w:sz="4" w:space="0" w:color="auto"/>
            </w:tcBorders>
            <w:shd w:val="clear" w:color="auto" w:fill="auto"/>
            <w:noWrap/>
            <w:vAlign w:val="bottom"/>
            <w:hideMark/>
          </w:tcPr>
          <w:p w14:paraId="4BF2849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82.1%</w:t>
            </w:r>
          </w:p>
        </w:tc>
        <w:tc>
          <w:tcPr>
            <w:tcW w:w="764" w:type="dxa"/>
            <w:tcBorders>
              <w:top w:val="nil"/>
              <w:left w:val="nil"/>
              <w:bottom w:val="single" w:sz="4" w:space="0" w:color="auto"/>
              <w:right w:val="single" w:sz="4" w:space="0" w:color="auto"/>
            </w:tcBorders>
            <w:shd w:val="clear" w:color="auto" w:fill="auto"/>
            <w:noWrap/>
            <w:vAlign w:val="bottom"/>
            <w:hideMark/>
          </w:tcPr>
          <w:p w14:paraId="31D523F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17.0%</w:t>
            </w:r>
          </w:p>
        </w:tc>
        <w:tc>
          <w:tcPr>
            <w:tcW w:w="904" w:type="dxa"/>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58D2954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0.8%</w:t>
            </w:r>
          </w:p>
        </w:tc>
      </w:tr>
      <w:tr w:rsidR="00BC3D09" w:rsidRPr="00902009" w14:paraId="1B4D1315"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4A551AEB"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Tri-Valley</w:t>
            </w:r>
          </w:p>
        </w:tc>
        <w:tc>
          <w:tcPr>
            <w:tcW w:w="817" w:type="dxa"/>
            <w:tcBorders>
              <w:top w:val="nil"/>
              <w:left w:val="nil"/>
              <w:bottom w:val="single" w:sz="4" w:space="0" w:color="auto"/>
              <w:right w:val="single" w:sz="4" w:space="0" w:color="auto"/>
            </w:tcBorders>
            <w:shd w:val="clear" w:color="auto" w:fill="auto"/>
            <w:noWrap/>
            <w:vAlign w:val="bottom"/>
            <w:hideMark/>
          </w:tcPr>
          <w:p w14:paraId="3DF6892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14:paraId="35F7961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90</w:t>
            </w:r>
          </w:p>
        </w:tc>
        <w:tc>
          <w:tcPr>
            <w:tcW w:w="558" w:type="dxa"/>
            <w:tcBorders>
              <w:top w:val="nil"/>
              <w:left w:val="nil"/>
              <w:bottom w:val="single" w:sz="4" w:space="0" w:color="auto"/>
              <w:right w:val="single" w:sz="4" w:space="0" w:color="auto"/>
            </w:tcBorders>
            <w:shd w:val="clear" w:color="auto" w:fill="auto"/>
            <w:noWrap/>
            <w:vAlign w:val="bottom"/>
            <w:hideMark/>
          </w:tcPr>
          <w:p w14:paraId="76451DA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63</w:t>
            </w:r>
          </w:p>
        </w:tc>
        <w:tc>
          <w:tcPr>
            <w:tcW w:w="648" w:type="dxa"/>
            <w:tcBorders>
              <w:top w:val="nil"/>
              <w:left w:val="nil"/>
              <w:bottom w:val="single" w:sz="4" w:space="0" w:color="auto"/>
              <w:right w:val="single" w:sz="4" w:space="0" w:color="auto"/>
            </w:tcBorders>
            <w:shd w:val="clear" w:color="auto" w:fill="auto"/>
            <w:noWrap/>
            <w:vAlign w:val="bottom"/>
            <w:hideMark/>
          </w:tcPr>
          <w:p w14:paraId="548EBBA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w:t>
            </w:r>
          </w:p>
        </w:tc>
        <w:tc>
          <w:tcPr>
            <w:tcW w:w="683" w:type="dxa"/>
            <w:tcBorders>
              <w:top w:val="nil"/>
              <w:left w:val="nil"/>
              <w:bottom w:val="single" w:sz="4" w:space="0" w:color="auto"/>
              <w:right w:val="single" w:sz="4" w:space="0" w:color="auto"/>
            </w:tcBorders>
            <w:shd w:val="clear" w:color="auto" w:fill="auto"/>
            <w:noWrap/>
            <w:vAlign w:val="bottom"/>
            <w:hideMark/>
          </w:tcPr>
          <w:p w14:paraId="02C29E0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167</w:t>
            </w:r>
          </w:p>
        </w:tc>
        <w:tc>
          <w:tcPr>
            <w:tcW w:w="764" w:type="dxa"/>
            <w:tcBorders>
              <w:top w:val="nil"/>
              <w:left w:val="nil"/>
              <w:bottom w:val="single" w:sz="4" w:space="0" w:color="auto"/>
              <w:right w:val="single" w:sz="4" w:space="0" w:color="auto"/>
            </w:tcBorders>
            <w:shd w:val="clear" w:color="auto" w:fill="auto"/>
            <w:noWrap/>
            <w:vAlign w:val="bottom"/>
            <w:hideMark/>
          </w:tcPr>
          <w:p w14:paraId="7F349B7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53.9%</w:t>
            </w:r>
          </w:p>
        </w:tc>
        <w:tc>
          <w:tcPr>
            <w:tcW w:w="764" w:type="dxa"/>
            <w:tcBorders>
              <w:top w:val="nil"/>
              <w:left w:val="nil"/>
              <w:bottom w:val="single" w:sz="4" w:space="0" w:color="auto"/>
              <w:right w:val="single" w:sz="4" w:space="0" w:color="auto"/>
            </w:tcBorders>
            <w:shd w:val="clear" w:color="auto" w:fill="auto"/>
            <w:noWrap/>
            <w:vAlign w:val="bottom"/>
            <w:hideMark/>
          </w:tcPr>
          <w:p w14:paraId="203D6E9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37.7%</w:t>
            </w:r>
          </w:p>
        </w:tc>
        <w:tc>
          <w:tcPr>
            <w:tcW w:w="904" w:type="dxa"/>
            <w:tcBorders>
              <w:top w:val="single" w:sz="4" w:space="0" w:color="auto"/>
              <w:left w:val="single" w:sz="4" w:space="0" w:color="auto"/>
              <w:bottom w:val="single" w:sz="4" w:space="0" w:color="auto"/>
              <w:right w:val="single" w:sz="4" w:space="0" w:color="auto"/>
            </w:tcBorders>
            <w:shd w:val="clear" w:color="000000" w:fill="FAB3B5"/>
            <w:noWrap/>
            <w:vAlign w:val="bottom"/>
            <w:hideMark/>
          </w:tcPr>
          <w:p w14:paraId="6FC95EF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8.4%</w:t>
            </w:r>
          </w:p>
        </w:tc>
      </w:tr>
      <w:tr w:rsidR="00BC3D09" w:rsidRPr="00902009" w14:paraId="36A942CA"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76E1CF16"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4FD2839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14:paraId="5A100B5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143</w:t>
            </w:r>
          </w:p>
        </w:tc>
        <w:tc>
          <w:tcPr>
            <w:tcW w:w="558" w:type="dxa"/>
            <w:tcBorders>
              <w:top w:val="nil"/>
              <w:left w:val="nil"/>
              <w:bottom w:val="single" w:sz="4" w:space="0" w:color="auto"/>
              <w:right w:val="single" w:sz="4" w:space="0" w:color="auto"/>
            </w:tcBorders>
            <w:shd w:val="clear" w:color="auto" w:fill="auto"/>
            <w:noWrap/>
            <w:vAlign w:val="bottom"/>
            <w:hideMark/>
          </w:tcPr>
          <w:p w14:paraId="34907C6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70</w:t>
            </w:r>
          </w:p>
        </w:tc>
        <w:tc>
          <w:tcPr>
            <w:tcW w:w="648" w:type="dxa"/>
            <w:tcBorders>
              <w:top w:val="nil"/>
              <w:left w:val="nil"/>
              <w:bottom w:val="single" w:sz="4" w:space="0" w:color="auto"/>
              <w:right w:val="single" w:sz="4" w:space="0" w:color="auto"/>
            </w:tcBorders>
            <w:shd w:val="clear" w:color="auto" w:fill="auto"/>
            <w:noWrap/>
            <w:vAlign w:val="bottom"/>
            <w:hideMark/>
          </w:tcPr>
          <w:p w14:paraId="2602175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w:t>
            </w:r>
          </w:p>
        </w:tc>
        <w:tc>
          <w:tcPr>
            <w:tcW w:w="683" w:type="dxa"/>
            <w:tcBorders>
              <w:top w:val="nil"/>
              <w:left w:val="nil"/>
              <w:bottom w:val="single" w:sz="4" w:space="0" w:color="auto"/>
              <w:right w:val="single" w:sz="4" w:space="0" w:color="auto"/>
            </w:tcBorders>
            <w:shd w:val="clear" w:color="auto" w:fill="auto"/>
            <w:noWrap/>
            <w:vAlign w:val="bottom"/>
            <w:hideMark/>
          </w:tcPr>
          <w:p w14:paraId="394587B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245</w:t>
            </w:r>
          </w:p>
        </w:tc>
        <w:tc>
          <w:tcPr>
            <w:tcW w:w="764" w:type="dxa"/>
            <w:tcBorders>
              <w:top w:val="nil"/>
              <w:left w:val="nil"/>
              <w:bottom w:val="single" w:sz="4" w:space="0" w:color="auto"/>
              <w:right w:val="single" w:sz="4" w:space="0" w:color="auto"/>
            </w:tcBorders>
            <w:shd w:val="clear" w:color="auto" w:fill="auto"/>
            <w:noWrap/>
            <w:vAlign w:val="bottom"/>
            <w:hideMark/>
          </w:tcPr>
          <w:p w14:paraId="3B73888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58.4%</w:t>
            </w:r>
          </w:p>
        </w:tc>
        <w:tc>
          <w:tcPr>
            <w:tcW w:w="764" w:type="dxa"/>
            <w:tcBorders>
              <w:top w:val="nil"/>
              <w:left w:val="nil"/>
              <w:bottom w:val="single" w:sz="4" w:space="0" w:color="auto"/>
              <w:right w:val="single" w:sz="4" w:space="0" w:color="auto"/>
            </w:tcBorders>
            <w:shd w:val="clear" w:color="auto" w:fill="auto"/>
            <w:noWrap/>
            <w:vAlign w:val="bottom"/>
            <w:hideMark/>
          </w:tcPr>
          <w:p w14:paraId="5A48E30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28.6%</w:t>
            </w:r>
          </w:p>
        </w:tc>
        <w:tc>
          <w:tcPr>
            <w:tcW w:w="904" w:type="dxa"/>
            <w:tcBorders>
              <w:top w:val="single" w:sz="4" w:space="0" w:color="auto"/>
              <w:left w:val="single" w:sz="4" w:space="0" w:color="auto"/>
              <w:bottom w:val="single" w:sz="4" w:space="0" w:color="auto"/>
              <w:right w:val="single" w:sz="4" w:space="0" w:color="auto"/>
            </w:tcBorders>
            <w:shd w:val="clear" w:color="000000" w:fill="F9898C"/>
            <w:noWrap/>
            <w:vAlign w:val="bottom"/>
            <w:hideMark/>
          </w:tcPr>
          <w:p w14:paraId="393B654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13.1%</w:t>
            </w:r>
          </w:p>
        </w:tc>
      </w:tr>
      <w:tr w:rsidR="00BC3D09" w:rsidRPr="00902009" w14:paraId="09847818"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16740BBD"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7CF308A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w:t>
            </w:r>
          </w:p>
        </w:tc>
        <w:tc>
          <w:tcPr>
            <w:tcW w:w="711" w:type="dxa"/>
            <w:tcBorders>
              <w:top w:val="nil"/>
              <w:left w:val="nil"/>
              <w:bottom w:val="single" w:sz="4" w:space="0" w:color="auto"/>
              <w:right w:val="single" w:sz="4" w:space="0" w:color="auto"/>
            </w:tcBorders>
            <w:shd w:val="clear" w:color="auto" w:fill="auto"/>
            <w:noWrap/>
            <w:vAlign w:val="bottom"/>
            <w:hideMark/>
          </w:tcPr>
          <w:p w14:paraId="129FFB5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233</w:t>
            </w:r>
          </w:p>
        </w:tc>
        <w:tc>
          <w:tcPr>
            <w:tcW w:w="558" w:type="dxa"/>
            <w:tcBorders>
              <w:top w:val="nil"/>
              <w:left w:val="nil"/>
              <w:bottom w:val="single" w:sz="4" w:space="0" w:color="auto"/>
              <w:right w:val="single" w:sz="4" w:space="0" w:color="auto"/>
            </w:tcBorders>
            <w:shd w:val="clear" w:color="auto" w:fill="auto"/>
            <w:noWrap/>
            <w:vAlign w:val="bottom"/>
            <w:hideMark/>
          </w:tcPr>
          <w:p w14:paraId="1E78DD4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133</w:t>
            </w:r>
          </w:p>
        </w:tc>
        <w:tc>
          <w:tcPr>
            <w:tcW w:w="648" w:type="dxa"/>
            <w:tcBorders>
              <w:top w:val="nil"/>
              <w:left w:val="nil"/>
              <w:bottom w:val="single" w:sz="4" w:space="0" w:color="auto"/>
              <w:right w:val="single" w:sz="4" w:space="0" w:color="auto"/>
            </w:tcBorders>
            <w:shd w:val="clear" w:color="auto" w:fill="auto"/>
            <w:noWrap/>
            <w:vAlign w:val="bottom"/>
            <w:hideMark/>
          </w:tcPr>
          <w:p w14:paraId="1DCE46B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46</w:t>
            </w:r>
          </w:p>
        </w:tc>
        <w:tc>
          <w:tcPr>
            <w:tcW w:w="683" w:type="dxa"/>
            <w:tcBorders>
              <w:top w:val="nil"/>
              <w:left w:val="nil"/>
              <w:bottom w:val="single" w:sz="4" w:space="0" w:color="auto"/>
              <w:right w:val="single" w:sz="4" w:space="0" w:color="auto"/>
            </w:tcBorders>
            <w:shd w:val="clear" w:color="auto" w:fill="auto"/>
            <w:noWrap/>
            <w:vAlign w:val="bottom"/>
            <w:hideMark/>
          </w:tcPr>
          <w:p w14:paraId="0D7A898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412</w:t>
            </w:r>
          </w:p>
        </w:tc>
        <w:tc>
          <w:tcPr>
            <w:tcW w:w="764" w:type="dxa"/>
            <w:tcBorders>
              <w:top w:val="nil"/>
              <w:left w:val="nil"/>
              <w:bottom w:val="single" w:sz="4" w:space="0" w:color="auto"/>
              <w:right w:val="single" w:sz="4" w:space="0" w:color="auto"/>
            </w:tcBorders>
            <w:shd w:val="clear" w:color="auto" w:fill="auto"/>
            <w:noWrap/>
            <w:vAlign w:val="bottom"/>
            <w:hideMark/>
          </w:tcPr>
          <w:p w14:paraId="30FA033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56.6%</w:t>
            </w:r>
          </w:p>
        </w:tc>
        <w:tc>
          <w:tcPr>
            <w:tcW w:w="764" w:type="dxa"/>
            <w:tcBorders>
              <w:top w:val="nil"/>
              <w:left w:val="nil"/>
              <w:bottom w:val="single" w:sz="4" w:space="0" w:color="auto"/>
              <w:right w:val="single" w:sz="4" w:space="0" w:color="auto"/>
            </w:tcBorders>
            <w:shd w:val="clear" w:color="auto" w:fill="auto"/>
            <w:noWrap/>
            <w:vAlign w:val="bottom"/>
            <w:hideMark/>
          </w:tcPr>
          <w:p w14:paraId="025A174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32.3%</w:t>
            </w:r>
          </w:p>
        </w:tc>
        <w:tc>
          <w:tcPr>
            <w:tcW w:w="904" w:type="dxa"/>
            <w:tcBorders>
              <w:top w:val="single" w:sz="4" w:space="0" w:color="auto"/>
              <w:left w:val="single" w:sz="4" w:space="0" w:color="auto"/>
              <w:bottom w:val="single" w:sz="4" w:space="0" w:color="auto"/>
              <w:right w:val="single" w:sz="4" w:space="0" w:color="auto"/>
            </w:tcBorders>
            <w:shd w:val="clear" w:color="000000" w:fill="FA9A9C"/>
            <w:noWrap/>
            <w:vAlign w:val="bottom"/>
            <w:hideMark/>
          </w:tcPr>
          <w:p w14:paraId="553C689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11.2%</w:t>
            </w:r>
          </w:p>
        </w:tc>
      </w:tr>
      <w:tr w:rsidR="00BC3D09" w:rsidRPr="00902009" w14:paraId="0C84B131"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39FFED09"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Total</w:t>
            </w:r>
          </w:p>
        </w:tc>
        <w:tc>
          <w:tcPr>
            <w:tcW w:w="817" w:type="dxa"/>
            <w:tcBorders>
              <w:top w:val="nil"/>
              <w:left w:val="nil"/>
              <w:bottom w:val="single" w:sz="4" w:space="0" w:color="auto"/>
              <w:right w:val="single" w:sz="4" w:space="0" w:color="auto"/>
            </w:tcBorders>
            <w:shd w:val="clear" w:color="auto" w:fill="auto"/>
            <w:noWrap/>
            <w:vAlign w:val="bottom"/>
            <w:hideMark/>
          </w:tcPr>
          <w:p w14:paraId="2A35549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SFR</w:t>
            </w:r>
          </w:p>
        </w:tc>
        <w:tc>
          <w:tcPr>
            <w:tcW w:w="711" w:type="dxa"/>
            <w:tcBorders>
              <w:top w:val="nil"/>
              <w:left w:val="nil"/>
              <w:bottom w:val="single" w:sz="4" w:space="0" w:color="auto"/>
              <w:right w:val="single" w:sz="4" w:space="0" w:color="auto"/>
            </w:tcBorders>
            <w:shd w:val="clear" w:color="auto" w:fill="auto"/>
            <w:noWrap/>
            <w:vAlign w:val="bottom"/>
            <w:hideMark/>
          </w:tcPr>
          <w:p w14:paraId="5AFA713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1141</w:t>
            </w:r>
          </w:p>
        </w:tc>
        <w:tc>
          <w:tcPr>
            <w:tcW w:w="558" w:type="dxa"/>
            <w:tcBorders>
              <w:top w:val="nil"/>
              <w:left w:val="nil"/>
              <w:bottom w:val="single" w:sz="4" w:space="0" w:color="auto"/>
              <w:right w:val="single" w:sz="4" w:space="0" w:color="auto"/>
            </w:tcBorders>
            <w:shd w:val="clear" w:color="auto" w:fill="auto"/>
            <w:noWrap/>
            <w:vAlign w:val="bottom"/>
            <w:hideMark/>
          </w:tcPr>
          <w:p w14:paraId="54D6B88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553</w:t>
            </w:r>
          </w:p>
        </w:tc>
        <w:tc>
          <w:tcPr>
            <w:tcW w:w="648" w:type="dxa"/>
            <w:tcBorders>
              <w:top w:val="nil"/>
              <w:left w:val="nil"/>
              <w:bottom w:val="single" w:sz="4" w:space="0" w:color="auto"/>
              <w:right w:val="single" w:sz="4" w:space="0" w:color="auto"/>
            </w:tcBorders>
            <w:shd w:val="clear" w:color="auto" w:fill="auto"/>
            <w:noWrap/>
            <w:vAlign w:val="bottom"/>
            <w:hideMark/>
          </w:tcPr>
          <w:p w14:paraId="4C70FF0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87</w:t>
            </w:r>
          </w:p>
        </w:tc>
        <w:tc>
          <w:tcPr>
            <w:tcW w:w="683" w:type="dxa"/>
            <w:tcBorders>
              <w:top w:val="nil"/>
              <w:left w:val="nil"/>
              <w:bottom w:val="single" w:sz="4" w:space="0" w:color="auto"/>
              <w:right w:val="single" w:sz="4" w:space="0" w:color="auto"/>
            </w:tcBorders>
            <w:shd w:val="clear" w:color="auto" w:fill="auto"/>
            <w:noWrap/>
            <w:vAlign w:val="bottom"/>
            <w:hideMark/>
          </w:tcPr>
          <w:p w14:paraId="25F5C64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1781</w:t>
            </w:r>
          </w:p>
        </w:tc>
        <w:tc>
          <w:tcPr>
            <w:tcW w:w="764" w:type="dxa"/>
            <w:tcBorders>
              <w:top w:val="nil"/>
              <w:left w:val="nil"/>
              <w:bottom w:val="single" w:sz="4" w:space="0" w:color="auto"/>
              <w:right w:val="single" w:sz="4" w:space="0" w:color="auto"/>
            </w:tcBorders>
            <w:shd w:val="clear" w:color="auto" w:fill="auto"/>
            <w:noWrap/>
            <w:vAlign w:val="bottom"/>
            <w:hideMark/>
          </w:tcPr>
          <w:p w14:paraId="60C3835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64.1%</w:t>
            </w:r>
          </w:p>
        </w:tc>
        <w:tc>
          <w:tcPr>
            <w:tcW w:w="764" w:type="dxa"/>
            <w:tcBorders>
              <w:top w:val="nil"/>
              <w:left w:val="nil"/>
              <w:bottom w:val="single" w:sz="4" w:space="0" w:color="auto"/>
              <w:right w:val="single" w:sz="4" w:space="0" w:color="auto"/>
            </w:tcBorders>
            <w:shd w:val="clear" w:color="auto" w:fill="auto"/>
            <w:noWrap/>
            <w:vAlign w:val="bottom"/>
            <w:hideMark/>
          </w:tcPr>
          <w:p w14:paraId="4793086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31.0%</w:t>
            </w:r>
          </w:p>
        </w:tc>
        <w:tc>
          <w:tcPr>
            <w:tcW w:w="904" w:type="dxa"/>
            <w:tcBorders>
              <w:top w:val="single" w:sz="4" w:space="0" w:color="auto"/>
              <w:left w:val="single" w:sz="4" w:space="0" w:color="auto"/>
              <w:bottom w:val="single" w:sz="4" w:space="0" w:color="auto"/>
              <w:right w:val="single" w:sz="4" w:space="0" w:color="auto"/>
            </w:tcBorders>
            <w:shd w:val="clear" w:color="000000" w:fill="FBD1D4"/>
            <w:noWrap/>
            <w:vAlign w:val="bottom"/>
            <w:hideMark/>
          </w:tcPr>
          <w:p w14:paraId="6EB7640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4.9%</w:t>
            </w:r>
          </w:p>
        </w:tc>
      </w:tr>
      <w:tr w:rsidR="00BC3D09" w:rsidRPr="00902009" w14:paraId="4DA1A8C9" w14:textId="77777777" w:rsidTr="00BC3D09">
        <w:trPr>
          <w:trHeight w:val="269"/>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14:paraId="598E6011" w14:textId="77777777" w:rsidR="00BC3D09" w:rsidRPr="00902009" w:rsidRDefault="00BC3D09" w:rsidP="00BC3D09">
            <w:pPr>
              <w:spacing w:after="0" w:line="240" w:lineRule="auto"/>
              <w:rPr>
                <w:rFonts w:eastAsia="Times New Roman" w:cs="Times New Roman"/>
                <w:b/>
                <w:bCs/>
                <w:color w:val="000000"/>
              </w:rPr>
            </w:pPr>
            <w:r w:rsidRPr="00902009">
              <w:rPr>
                <w:rFonts w:eastAsia="Times New Roman" w:cs="Times New Roman"/>
                <w:b/>
                <w:bCs/>
                <w:color w:val="000000"/>
              </w:rPr>
              <w:t> </w:t>
            </w:r>
          </w:p>
        </w:tc>
        <w:tc>
          <w:tcPr>
            <w:tcW w:w="817" w:type="dxa"/>
            <w:tcBorders>
              <w:top w:val="nil"/>
              <w:left w:val="nil"/>
              <w:bottom w:val="single" w:sz="4" w:space="0" w:color="auto"/>
              <w:right w:val="single" w:sz="4" w:space="0" w:color="auto"/>
            </w:tcBorders>
            <w:shd w:val="clear" w:color="auto" w:fill="auto"/>
            <w:noWrap/>
            <w:vAlign w:val="bottom"/>
            <w:hideMark/>
          </w:tcPr>
          <w:p w14:paraId="4608600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MH</w:t>
            </w:r>
          </w:p>
        </w:tc>
        <w:tc>
          <w:tcPr>
            <w:tcW w:w="711" w:type="dxa"/>
            <w:tcBorders>
              <w:top w:val="nil"/>
              <w:left w:val="nil"/>
              <w:bottom w:val="single" w:sz="4" w:space="0" w:color="auto"/>
              <w:right w:val="single" w:sz="4" w:space="0" w:color="auto"/>
            </w:tcBorders>
            <w:shd w:val="clear" w:color="auto" w:fill="auto"/>
            <w:noWrap/>
            <w:vAlign w:val="bottom"/>
            <w:hideMark/>
          </w:tcPr>
          <w:p w14:paraId="4A584C4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245</w:t>
            </w:r>
          </w:p>
        </w:tc>
        <w:tc>
          <w:tcPr>
            <w:tcW w:w="558" w:type="dxa"/>
            <w:tcBorders>
              <w:top w:val="nil"/>
              <w:left w:val="nil"/>
              <w:bottom w:val="single" w:sz="4" w:space="0" w:color="auto"/>
              <w:right w:val="single" w:sz="4" w:space="0" w:color="auto"/>
            </w:tcBorders>
            <w:shd w:val="clear" w:color="auto" w:fill="auto"/>
            <w:noWrap/>
            <w:vAlign w:val="bottom"/>
            <w:hideMark/>
          </w:tcPr>
          <w:p w14:paraId="3872021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149</w:t>
            </w:r>
          </w:p>
        </w:tc>
        <w:tc>
          <w:tcPr>
            <w:tcW w:w="648" w:type="dxa"/>
            <w:tcBorders>
              <w:top w:val="nil"/>
              <w:left w:val="nil"/>
              <w:bottom w:val="single" w:sz="4" w:space="0" w:color="auto"/>
              <w:right w:val="single" w:sz="4" w:space="0" w:color="auto"/>
            </w:tcBorders>
            <w:shd w:val="clear" w:color="auto" w:fill="auto"/>
            <w:noWrap/>
            <w:vAlign w:val="bottom"/>
            <w:hideMark/>
          </w:tcPr>
          <w:p w14:paraId="08C6700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64</w:t>
            </w:r>
          </w:p>
        </w:tc>
        <w:tc>
          <w:tcPr>
            <w:tcW w:w="683" w:type="dxa"/>
            <w:tcBorders>
              <w:top w:val="nil"/>
              <w:left w:val="nil"/>
              <w:bottom w:val="single" w:sz="4" w:space="0" w:color="auto"/>
              <w:right w:val="single" w:sz="4" w:space="0" w:color="auto"/>
            </w:tcBorders>
            <w:shd w:val="clear" w:color="auto" w:fill="auto"/>
            <w:noWrap/>
            <w:vAlign w:val="bottom"/>
            <w:hideMark/>
          </w:tcPr>
          <w:p w14:paraId="3FC5010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458</w:t>
            </w:r>
          </w:p>
        </w:tc>
        <w:tc>
          <w:tcPr>
            <w:tcW w:w="764" w:type="dxa"/>
            <w:tcBorders>
              <w:top w:val="nil"/>
              <w:left w:val="nil"/>
              <w:bottom w:val="single" w:sz="4" w:space="0" w:color="auto"/>
              <w:right w:val="single" w:sz="4" w:space="0" w:color="auto"/>
            </w:tcBorders>
            <w:shd w:val="clear" w:color="auto" w:fill="auto"/>
            <w:noWrap/>
            <w:vAlign w:val="bottom"/>
            <w:hideMark/>
          </w:tcPr>
          <w:p w14:paraId="03C4673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53.5%</w:t>
            </w:r>
          </w:p>
        </w:tc>
        <w:tc>
          <w:tcPr>
            <w:tcW w:w="764" w:type="dxa"/>
            <w:tcBorders>
              <w:top w:val="nil"/>
              <w:left w:val="nil"/>
              <w:bottom w:val="single" w:sz="4" w:space="0" w:color="auto"/>
              <w:right w:val="single" w:sz="4" w:space="0" w:color="auto"/>
            </w:tcBorders>
            <w:shd w:val="clear" w:color="auto" w:fill="auto"/>
            <w:noWrap/>
            <w:vAlign w:val="bottom"/>
            <w:hideMark/>
          </w:tcPr>
          <w:p w14:paraId="20B9943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32.5%</w:t>
            </w:r>
          </w:p>
        </w:tc>
        <w:tc>
          <w:tcPr>
            <w:tcW w:w="904" w:type="dxa"/>
            <w:tcBorders>
              <w:top w:val="single" w:sz="4" w:space="0" w:color="auto"/>
              <w:left w:val="single" w:sz="4" w:space="0" w:color="auto"/>
              <w:bottom w:val="single" w:sz="4" w:space="0" w:color="auto"/>
              <w:right w:val="single" w:sz="4" w:space="0" w:color="auto"/>
            </w:tcBorders>
            <w:shd w:val="clear" w:color="000000" w:fill="F98183"/>
            <w:noWrap/>
            <w:vAlign w:val="bottom"/>
            <w:hideMark/>
          </w:tcPr>
          <w:p w14:paraId="0A788C0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14.0%</w:t>
            </w:r>
          </w:p>
        </w:tc>
      </w:tr>
      <w:tr w:rsidR="00BC3D09" w:rsidRPr="00902009" w14:paraId="77B8248A" w14:textId="77777777" w:rsidTr="00BC3D09">
        <w:trPr>
          <w:trHeight w:val="269"/>
        </w:trPr>
        <w:tc>
          <w:tcPr>
            <w:tcW w:w="1316" w:type="dxa"/>
            <w:tcBorders>
              <w:top w:val="nil"/>
              <w:left w:val="nil"/>
              <w:bottom w:val="nil"/>
              <w:right w:val="nil"/>
            </w:tcBorders>
            <w:shd w:val="clear" w:color="auto" w:fill="auto"/>
            <w:noWrap/>
            <w:vAlign w:val="bottom"/>
            <w:hideMark/>
          </w:tcPr>
          <w:p w14:paraId="4DD50D99" w14:textId="77777777" w:rsidR="00BC3D09" w:rsidRPr="00902009" w:rsidRDefault="00BC3D09" w:rsidP="00BC3D09">
            <w:pPr>
              <w:spacing w:after="0" w:line="240" w:lineRule="auto"/>
              <w:rPr>
                <w:rFonts w:eastAsia="Times New Roman" w:cs="Times New Roman"/>
                <w:color w:val="000000"/>
              </w:rPr>
            </w:pPr>
          </w:p>
        </w:tc>
        <w:tc>
          <w:tcPr>
            <w:tcW w:w="817" w:type="dxa"/>
            <w:tcBorders>
              <w:top w:val="nil"/>
              <w:left w:val="nil"/>
              <w:bottom w:val="nil"/>
              <w:right w:val="nil"/>
            </w:tcBorders>
            <w:shd w:val="clear" w:color="auto" w:fill="auto"/>
            <w:noWrap/>
            <w:vAlign w:val="bottom"/>
            <w:hideMark/>
          </w:tcPr>
          <w:p w14:paraId="0177739D" w14:textId="77777777" w:rsidR="00BC3D09" w:rsidRPr="00902009" w:rsidRDefault="00BC3D09" w:rsidP="00BC3D09">
            <w:pPr>
              <w:spacing w:after="0" w:line="240" w:lineRule="auto"/>
              <w:rPr>
                <w:rFonts w:eastAsia="Times New Roman" w:cs="Times New Roman"/>
              </w:rPr>
            </w:pPr>
          </w:p>
        </w:tc>
        <w:tc>
          <w:tcPr>
            <w:tcW w:w="711" w:type="dxa"/>
            <w:tcBorders>
              <w:top w:val="nil"/>
              <w:left w:val="nil"/>
              <w:bottom w:val="nil"/>
              <w:right w:val="nil"/>
            </w:tcBorders>
            <w:shd w:val="clear" w:color="auto" w:fill="auto"/>
            <w:noWrap/>
            <w:vAlign w:val="bottom"/>
            <w:hideMark/>
          </w:tcPr>
          <w:p w14:paraId="5E9AF705" w14:textId="77777777" w:rsidR="00BC3D09" w:rsidRPr="00902009" w:rsidRDefault="00BC3D09" w:rsidP="00BC3D09">
            <w:pPr>
              <w:spacing w:after="0" w:line="240" w:lineRule="auto"/>
              <w:rPr>
                <w:rFonts w:eastAsia="Times New Roman" w:cs="Times New Roman"/>
              </w:rPr>
            </w:pPr>
          </w:p>
        </w:tc>
        <w:tc>
          <w:tcPr>
            <w:tcW w:w="558" w:type="dxa"/>
            <w:tcBorders>
              <w:top w:val="nil"/>
              <w:left w:val="nil"/>
              <w:bottom w:val="nil"/>
              <w:right w:val="nil"/>
            </w:tcBorders>
            <w:shd w:val="clear" w:color="auto" w:fill="auto"/>
            <w:noWrap/>
            <w:vAlign w:val="bottom"/>
            <w:hideMark/>
          </w:tcPr>
          <w:p w14:paraId="7A03625E" w14:textId="77777777" w:rsidR="00BC3D09" w:rsidRPr="00902009" w:rsidRDefault="00BC3D09" w:rsidP="00BC3D09">
            <w:pPr>
              <w:spacing w:after="0" w:line="240" w:lineRule="auto"/>
              <w:rPr>
                <w:rFonts w:eastAsia="Times New Roman" w:cs="Times New Roman"/>
              </w:rPr>
            </w:pPr>
          </w:p>
        </w:tc>
        <w:tc>
          <w:tcPr>
            <w:tcW w:w="648" w:type="dxa"/>
            <w:tcBorders>
              <w:top w:val="nil"/>
              <w:left w:val="nil"/>
              <w:bottom w:val="nil"/>
              <w:right w:val="nil"/>
            </w:tcBorders>
            <w:shd w:val="clear" w:color="auto" w:fill="auto"/>
            <w:noWrap/>
            <w:vAlign w:val="bottom"/>
            <w:hideMark/>
          </w:tcPr>
          <w:p w14:paraId="6EE1967F" w14:textId="77777777" w:rsidR="00BC3D09" w:rsidRPr="00902009" w:rsidRDefault="00BC3D09" w:rsidP="00BC3D09">
            <w:pPr>
              <w:spacing w:after="0" w:line="240" w:lineRule="auto"/>
              <w:rPr>
                <w:rFonts w:eastAsia="Times New Roman" w:cs="Times New Roman"/>
              </w:rPr>
            </w:pPr>
          </w:p>
        </w:tc>
        <w:tc>
          <w:tcPr>
            <w:tcW w:w="683" w:type="dxa"/>
            <w:tcBorders>
              <w:top w:val="nil"/>
              <w:left w:val="nil"/>
              <w:bottom w:val="nil"/>
              <w:right w:val="nil"/>
            </w:tcBorders>
            <w:shd w:val="clear" w:color="auto" w:fill="auto"/>
            <w:noWrap/>
            <w:vAlign w:val="bottom"/>
            <w:hideMark/>
          </w:tcPr>
          <w:p w14:paraId="5F578B22" w14:textId="77777777" w:rsidR="00BC3D09" w:rsidRPr="00902009" w:rsidRDefault="00BC3D09" w:rsidP="00BC3D09">
            <w:pPr>
              <w:spacing w:after="0" w:line="240" w:lineRule="auto"/>
              <w:rPr>
                <w:rFonts w:eastAsia="Times New Roman" w:cs="Times New Roman"/>
              </w:rPr>
            </w:pPr>
          </w:p>
        </w:tc>
        <w:tc>
          <w:tcPr>
            <w:tcW w:w="764" w:type="dxa"/>
            <w:tcBorders>
              <w:top w:val="nil"/>
              <w:left w:val="nil"/>
              <w:bottom w:val="nil"/>
              <w:right w:val="nil"/>
            </w:tcBorders>
            <w:shd w:val="clear" w:color="auto" w:fill="auto"/>
            <w:noWrap/>
            <w:vAlign w:val="bottom"/>
            <w:hideMark/>
          </w:tcPr>
          <w:p w14:paraId="3C818113" w14:textId="77777777" w:rsidR="00BC3D09" w:rsidRPr="00902009" w:rsidRDefault="00BC3D09" w:rsidP="00BC3D09">
            <w:pPr>
              <w:spacing w:after="0" w:line="240" w:lineRule="auto"/>
              <w:rPr>
                <w:rFonts w:eastAsia="Times New Roman" w:cs="Times New Roman"/>
              </w:rPr>
            </w:pPr>
          </w:p>
        </w:tc>
        <w:tc>
          <w:tcPr>
            <w:tcW w:w="764" w:type="dxa"/>
            <w:tcBorders>
              <w:top w:val="nil"/>
              <w:left w:val="nil"/>
              <w:bottom w:val="nil"/>
              <w:right w:val="nil"/>
            </w:tcBorders>
            <w:shd w:val="clear" w:color="auto" w:fill="auto"/>
            <w:noWrap/>
            <w:vAlign w:val="bottom"/>
            <w:hideMark/>
          </w:tcPr>
          <w:p w14:paraId="4F419B0E" w14:textId="77777777" w:rsidR="00BC3D09" w:rsidRPr="00902009" w:rsidRDefault="00BC3D09" w:rsidP="00BC3D09">
            <w:pPr>
              <w:spacing w:after="0" w:line="240" w:lineRule="auto"/>
              <w:rPr>
                <w:rFonts w:eastAsia="Times New Roman" w:cs="Times New Roman"/>
              </w:rPr>
            </w:pPr>
          </w:p>
        </w:tc>
        <w:tc>
          <w:tcPr>
            <w:tcW w:w="904" w:type="dxa"/>
            <w:tcBorders>
              <w:top w:val="nil"/>
              <w:left w:val="nil"/>
              <w:bottom w:val="nil"/>
              <w:right w:val="nil"/>
            </w:tcBorders>
            <w:shd w:val="clear" w:color="auto" w:fill="auto"/>
            <w:noWrap/>
            <w:vAlign w:val="bottom"/>
            <w:hideMark/>
          </w:tcPr>
          <w:p w14:paraId="22E64A2B" w14:textId="77777777" w:rsidR="00BC3D09" w:rsidRPr="00902009" w:rsidRDefault="00BC3D09" w:rsidP="00BC3D09">
            <w:pPr>
              <w:spacing w:after="0" w:line="240" w:lineRule="auto"/>
              <w:rPr>
                <w:rFonts w:eastAsia="Times New Roman" w:cs="Times New Roman"/>
              </w:rPr>
            </w:pPr>
          </w:p>
        </w:tc>
      </w:tr>
    </w:tbl>
    <w:p w14:paraId="6E5EC8ED" w14:textId="77777777" w:rsidR="00BC3D09" w:rsidRPr="00902009" w:rsidRDefault="00BC3D09" w:rsidP="00BC3D09">
      <w:pPr>
        <w:spacing w:line="280" w:lineRule="atLeast"/>
        <w:ind w:right="90"/>
        <w:jc w:val="both"/>
      </w:pPr>
      <w:r w:rsidRPr="00902009">
        <w:rPr>
          <w:highlight w:val="yellow"/>
        </w:rPr>
        <w:fldChar w:fldCharType="begin"/>
      </w:r>
      <w:r w:rsidRPr="00902009">
        <w:rPr>
          <w:highlight w:val="yellow"/>
        </w:rPr>
        <w:instrText xml:space="preserve"> TC"</w:instrText>
      </w:r>
      <w:bookmarkStart w:id="96" w:name="_Toc53809084"/>
      <w:bookmarkStart w:id="97" w:name="_Toc76444426"/>
      <w:bookmarkStart w:id="98" w:name="_Toc106530172"/>
      <w:bookmarkStart w:id="99" w:name="_Toc123887001"/>
      <w:r w:rsidRPr="00902009">
        <w:rPr>
          <w:highlight w:val="yellow"/>
        </w:rPr>
        <w:instrText>Table 32</w:instrText>
      </w:r>
      <w:r w:rsidRPr="00902009">
        <w:rPr>
          <w:highlight w:val="yellow"/>
        </w:rPr>
        <w:tab/>
        <w:instrText>Housing Conditions, Unincorporated Mono County</w:instrText>
      </w:r>
      <w:bookmarkEnd w:id="96"/>
      <w:r w:rsidRPr="00902009">
        <w:rPr>
          <w:highlight w:val="yellow"/>
        </w:rPr>
        <w:instrText>, 200</w:instrText>
      </w:r>
      <w:bookmarkEnd w:id="97"/>
      <w:bookmarkEnd w:id="98"/>
      <w:r w:rsidRPr="00902009">
        <w:rPr>
          <w:highlight w:val="yellow"/>
        </w:rPr>
        <w:instrText>9</w:instrText>
      </w:r>
      <w:bookmarkEnd w:id="99"/>
      <w:r w:rsidRPr="00902009">
        <w:rPr>
          <w:highlight w:val="yellow"/>
        </w:rPr>
        <w:instrText xml:space="preserve">"\f t </w:instrText>
      </w:r>
      <w:r w:rsidRPr="00902009">
        <w:rPr>
          <w:highlight w:val="yellow"/>
        </w:rPr>
        <w:fldChar w:fldCharType="end"/>
      </w:r>
      <w:r w:rsidRPr="00902009">
        <w:rPr>
          <w:i/>
        </w:rPr>
        <w:t>Source:</w:t>
      </w:r>
      <w:r w:rsidRPr="00902009">
        <w:rPr>
          <w:i/>
        </w:rPr>
        <w:tab/>
        <w:t>Mono County Community Development Department, Housing Conditions Survey.</w:t>
      </w:r>
    </w:p>
    <w:p w14:paraId="454F239C" w14:textId="77777777" w:rsidR="00885ACB" w:rsidRDefault="00885ACB" w:rsidP="00885ACB">
      <w:pPr>
        <w:spacing w:after="0" w:line="280" w:lineRule="atLeast"/>
        <w:jc w:val="both"/>
        <w:rPr>
          <w:b/>
        </w:rPr>
      </w:pPr>
    </w:p>
    <w:p w14:paraId="0815E6BA" w14:textId="77777777" w:rsidR="00885ACB" w:rsidRPr="00885ACB" w:rsidRDefault="00885ACB" w:rsidP="00885ACB">
      <w:pPr>
        <w:tabs>
          <w:tab w:val="left" w:pos="1080"/>
        </w:tabs>
        <w:spacing w:line="280" w:lineRule="atLeast"/>
        <w:jc w:val="both"/>
      </w:pPr>
      <w:r w:rsidRPr="00885ACB">
        <w:t xml:space="preserve">Approximately 39 percent of all housing units in the unincorporated area were built more than 30 years ago (Table 16). Twenty-one percent were built more than 40 years ago, and 13 percent were built more than 50 years ago (Table 16). Bridgeport Valley (65%) and Mono Basin (47%) have the highest percentage of housing units built more than 30 years ago, although over a third of the housing units in all planning areas except June Lake were built more than 30 years ago. Bridgeport Valley (33%), Mono Basin (22%), and Long Valley (22%) have the highest percentage of housing units built more than 40 years ago. Bridgeport Valley (22%), June Lake (14%), and Long Valley (14%) have the highest percentage of housing units built more than 50 years ago. </w:t>
      </w:r>
    </w:p>
    <w:p w14:paraId="4B4112E2" w14:textId="77777777" w:rsidR="00A84E30" w:rsidRDefault="00A84E30" w:rsidP="00A84E30">
      <w:pPr>
        <w:ind w:right="15225"/>
      </w:pPr>
    </w:p>
    <w:p w14:paraId="1A7E537A" w14:textId="77777777" w:rsidR="00B75149" w:rsidRDefault="00B75149" w:rsidP="00B75149">
      <w:pPr>
        <w:ind w:right="15"/>
      </w:pPr>
      <w:r w:rsidRPr="00222581">
        <w:t>Table 16, Age of Housing by Planning Area, Mono County, 2000</w:t>
      </w:r>
    </w:p>
    <w:tbl>
      <w:tblPr>
        <w:tblW w:w="9681" w:type="dxa"/>
        <w:tblInd w:w="-8" w:type="dxa"/>
        <w:tblLook w:val="04A0" w:firstRow="1" w:lastRow="0" w:firstColumn="1" w:lastColumn="0" w:noHBand="0" w:noVBand="1"/>
      </w:tblPr>
      <w:tblGrid>
        <w:gridCol w:w="1760"/>
        <w:gridCol w:w="1128"/>
        <w:gridCol w:w="1196"/>
        <w:gridCol w:w="1229"/>
        <w:gridCol w:w="1161"/>
        <w:gridCol w:w="2350"/>
        <w:gridCol w:w="1128"/>
      </w:tblGrid>
      <w:tr w:rsidR="00B75149" w:rsidRPr="00380805" w14:paraId="36754E7B" w14:textId="77777777" w:rsidTr="00B75149">
        <w:trPr>
          <w:trHeight w:val="322"/>
        </w:trPr>
        <w:tc>
          <w:tcPr>
            <w:tcW w:w="176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B552DF5" w14:textId="77777777"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Year Built</w:t>
            </w:r>
          </w:p>
        </w:tc>
        <w:tc>
          <w:tcPr>
            <w:tcW w:w="973" w:type="dxa"/>
            <w:tcBorders>
              <w:top w:val="single" w:sz="4" w:space="0" w:color="auto"/>
              <w:left w:val="nil"/>
              <w:bottom w:val="single" w:sz="4" w:space="0" w:color="auto"/>
              <w:right w:val="single" w:sz="4" w:space="0" w:color="auto"/>
            </w:tcBorders>
            <w:shd w:val="clear" w:color="000000" w:fill="E7E6E6"/>
            <w:noWrap/>
            <w:vAlign w:val="center"/>
            <w:hideMark/>
          </w:tcPr>
          <w:p w14:paraId="0DD10A84" w14:textId="77777777"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Antelope</w:t>
            </w:r>
          </w:p>
        </w:tc>
        <w:tc>
          <w:tcPr>
            <w:tcW w:w="1161" w:type="dxa"/>
            <w:tcBorders>
              <w:top w:val="single" w:sz="4" w:space="0" w:color="auto"/>
              <w:left w:val="nil"/>
              <w:bottom w:val="single" w:sz="4" w:space="0" w:color="auto"/>
              <w:right w:val="single" w:sz="4" w:space="0" w:color="auto"/>
            </w:tcBorders>
            <w:shd w:val="clear" w:color="000000" w:fill="E7E6E6"/>
            <w:noWrap/>
            <w:vAlign w:val="center"/>
            <w:hideMark/>
          </w:tcPr>
          <w:p w14:paraId="278D1CD5" w14:textId="77777777"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Bridgeport</w:t>
            </w:r>
          </w:p>
        </w:tc>
        <w:tc>
          <w:tcPr>
            <w:tcW w:w="1229" w:type="dxa"/>
            <w:tcBorders>
              <w:top w:val="single" w:sz="4" w:space="0" w:color="auto"/>
              <w:left w:val="nil"/>
              <w:bottom w:val="single" w:sz="4" w:space="0" w:color="auto"/>
              <w:right w:val="single" w:sz="4" w:space="0" w:color="auto"/>
            </w:tcBorders>
            <w:shd w:val="clear" w:color="000000" w:fill="E7E6E6"/>
            <w:noWrap/>
            <w:vAlign w:val="center"/>
            <w:hideMark/>
          </w:tcPr>
          <w:p w14:paraId="6B97D7AA" w14:textId="77777777"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Mono Basin</w:t>
            </w:r>
          </w:p>
        </w:tc>
        <w:tc>
          <w:tcPr>
            <w:tcW w:w="1161" w:type="dxa"/>
            <w:tcBorders>
              <w:top w:val="single" w:sz="4" w:space="0" w:color="auto"/>
              <w:left w:val="nil"/>
              <w:bottom w:val="single" w:sz="4" w:space="0" w:color="auto"/>
              <w:right w:val="single" w:sz="4" w:space="0" w:color="auto"/>
            </w:tcBorders>
            <w:shd w:val="clear" w:color="000000" w:fill="E7E6E6"/>
            <w:noWrap/>
            <w:vAlign w:val="center"/>
            <w:hideMark/>
          </w:tcPr>
          <w:p w14:paraId="3B398F1E" w14:textId="77777777"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June Lake</w:t>
            </w:r>
          </w:p>
        </w:tc>
        <w:tc>
          <w:tcPr>
            <w:tcW w:w="2350" w:type="dxa"/>
            <w:tcBorders>
              <w:top w:val="single" w:sz="4" w:space="0" w:color="auto"/>
              <w:left w:val="nil"/>
              <w:bottom w:val="single" w:sz="4" w:space="0" w:color="auto"/>
              <w:right w:val="single" w:sz="4" w:space="0" w:color="auto"/>
            </w:tcBorders>
            <w:shd w:val="clear" w:color="000000" w:fill="E7E6E6"/>
            <w:noWrap/>
            <w:vAlign w:val="center"/>
            <w:hideMark/>
          </w:tcPr>
          <w:p w14:paraId="2A343D34" w14:textId="77777777"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Long Valley</w:t>
            </w:r>
          </w:p>
        </w:tc>
        <w:tc>
          <w:tcPr>
            <w:tcW w:w="1047" w:type="dxa"/>
            <w:tcBorders>
              <w:top w:val="single" w:sz="4" w:space="0" w:color="auto"/>
              <w:left w:val="nil"/>
              <w:bottom w:val="single" w:sz="4" w:space="0" w:color="auto"/>
              <w:right w:val="single" w:sz="4" w:space="0" w:color="auto"/>
            </w:tcBorders>
            <w:shd w:val="clear" w:color="000000" w:fill="E7E6E6"/>
            <w:noWrap/>
            <w:vAlign w:val="center"/>
            <w:hideMark/>
          </w:tcPr>
          <w:p w14:paraId="311CBC6C" w14:textId="77777777" w:rsidR="00380805" w:rsidRPr="00380805" w:rsidRDefault="00380805" w:rsidP="00380805">
            <w:pPr>
              <w:spacing w:after="0" w:line="240" w:lineRule="auto"/>
              <w:jc w:val="both"/>
              <w:rPr>
                <w:rFonts w:ascii="Calibri" w:eastAsia="Times New Roman" w:hAnsi="Calibri" w:cs="Times New Roman"/>
                <w:b/>
                <w:bCs/>
                <w:color w:val="000000"/>
              </w:rPr>
            </w:pPr>
            <w:r w:rsidRPr="00380805">
              <w:rPr>
                <w:rFonts w:ascii="Calibri" w:eastAsia="Times New Roman" w:hAnsi="Calibri" w:cs="Times New Roman"/>
                <w:b/>
                <w:bCs/>
                <w:color w:val="000000"/>
              </w:rPr>
              <w:t>Tri Valley</w:t>
            </w:r>
          </w:p>
        </w:tc>
      </w:tr>
      <w:tr w:rsidR="00B75149" w:rsidRPr="00380805" w14:paraId="1FDC0943" w14:textId="77777777" w:rsidTr="00B75149">
        <w:trPr>
          <w:trHeight w:val="645"/>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14:paraId="4D5096F4"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10 years or less</w:t>
            </w:r>
          </w:p>
        </w:tc>
        <w:tc>
          <w:tcPr>
            <w:tcW w:w="973" w:type="dxa"/>
            <w:tcBorders>
              <w:top w:val="nil"/>
              <w:left w:val="nil"/>
              <w:bottom w:val="single" w:sz="4" w:space="0" w:color="auto"/>
              <w:right w:val="single" w:sz="4" w:space="0" w:color="auto"/>
            </w:tcBorders>
            <w:shd w:val="clear" w:color="auto" w:fill="auto"/>
            <w:noWrap/>
            <w:vAlign w:val="center"/>
            <w:hideMark/>
          </w:tcPr>
          <w:p w14:paraId="27BBF96A"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210/29%</w:t>
            </w:r>
          </w:p>
        </w:tc>
        <w:tc>
          <w:tcPr>
            <w:tcW w:w="1161" w:type="dxa"/>
            <w:tcBorders>
              <w:top w:val="nil"/>
              <w:left w:val="nil"/>
              <w:bottom w:val="single" w:sz="4" w:space="0" w:color="auto"/>
              <w:right w:val="single" w:sz="4" w:space="0" w:color="auto"/>
            </w:tcBorders>
            <w:shd w:val="clear" w:color="auto" w:fill="auto"/>
            <w:noWrap/>
            <w:vAlign w:val="center"/>
            <w:hideMark/>
          </w:tcPr>
          <w:p w14:paraId="715C2B20"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60/9%</w:t>
            </w:r>
          </w:p>
        </w:tc>
        <w:tc>
          <w:tcPr>
            <w:tcW w:w="1229" w:type="dxa"/>
            <w:tcBorders>
              <w:top w:val="nil"/>
              <w:left w:val="nil"/>
              <w:bottom w:val="single" w:sz="4" w:space="0" w:color="auto"/>
              <w:right w:val="single" w:sz="4" w:space="0" w:color="auto"/>
            </w:tcBorders>
            <w:shd w:val="clear" w:color="auto" w:fill="auto"/>
            <w:noWrap/>
            <w:vAlign w:val="center"/>
            <w:hideMark/>
          </w:tcPr>
          <w:p w14:paraId="77EF5FBC"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57/23%</w:t>
            </w:r>
          </w:p>
        </w:tc>
        <w:tc>
          <w:tcPr>
            <w:tcW w:w="1161" w:type="dxa"/>
            <w:tcBorders>
              <w:top w:val="nil"/>
              <w:left w:val="nil"/>
              <w:bottom w:val="single" w:sz="4" w:space="0" w:color="auto"/>
              <w:right w:val="single" w:sz="4" w:space="0" w:color="auto"/>
            </w:tcBorders>
            <w:shd w:val="clear" w:color="auto" w:fill="auto"/>
            <w:noWrap/>
            <w:vAlign w:val="center"/>
            <w:hideMark/>
          </w:tcPr>
          <w:p w14:paraId="3538ABE7"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321/44%</w:t>
            </w:r>
          </w:p>
        </w:tc>
        <w:tc>
          <w:tcPr>
            <w:tcW w:w="2350" w:type="dxa"/>
            <w:tcBorders>
              <w:top w:val="nil"/>
              <w:left w:val="nil"/>
              <w:bottom w:val="single" w:sz="4" w:space="0" w:color="auto"/>
              <w:right w:val="single" w:sz="4" w:space="0" w:color="auto"/>
            </w:tcBorders>
            <w:shd w:val="clear" w:color="auto" w:fill="auto"/>
            <w:noWrap/>
            <w:vAlign w:val="center"/>
            <w:hideMark/>
          </w:tcPr>
          <w:p w14:paraId="5A279974"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216/24%</w:t>
            </w:r>
          </w:p>
        </w:tc>
        <w:tc>
          <w:tcPr>
            <w:tcW w:w="1047" w:type="dxa"/>
            <w:tcBorders>
              <w:top w:val="nil"/>
              <w:left w:val="nil"/>
              <w:bottom w:val="single" w:sz="4" w:space="0" w:color="auto"/>
              <w:right w:val="single" w:sz="4" w:space="0" w:color="auto"/>
            </w:tcBorders>
            <w:shd w:val="clear" w:color="auto" w:fill="auto"/>
            <w:noWrap/>
            <w:vAlign w:val="center"/>
            <w:hideMark/>
          </w:tcPr>
          <w:p w14:paraId="3C36DD7E"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157/31%</w:t>
            </w:r>
          </w:p>
        </w:tc>
      </w:tr>
      <w:tr w:rsidR="00B75149" w:rsidRPr="00380805" w14:paraId="18A1D16F" w14:textId="77777777" w:rsidTr="00B75149">
        <w:trPr>
          <w:trHeight w:val="645"/>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14:paraId="575C04B0"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11-20 years</w:t>
            </w:r>
          </w:p>
        </w:tc>
        <w:tc>
          <w:tcPr>
            <w:tcW w:w="973" w:type="dxa"/>
            <w:tcBorders>
              <w:top w:val="nil"/>
              <w:left w:val="nil"/>
              <w:bottom w:val="single" w:sz="4" w:space="0" w:color="auto"/>
              <w:right w:val="single" w:sz="4" w:space="0" w:color="auto"/>
            </w:tcBorders>
            <w:shd w:val="clear" w:color="auto" w:fill="auto"/>
            <w:noWrap/>
            <w:vAlign w:val="center"/>
            <w:hideMark/>
          </w:tcPr>
          <w:p w14:paraId="002CBA5E"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168/23%</w:t>
            </w:r>
          </w:p>
        </w:tc>
        <w:tc>
          <w:tcPr>
            <w:tcW w:w="1161" w:type="dxa"/>
            <w:tcBorders>
              <w:top w:val="nil"/>
              <w:left w:val="nil"/>
              <w:bottom w:val="single" w:sz="4" w:space="0" w:color="auto"/>
              <w:right w:val="single" w:sz="4" w:space="0" w:color="auto"/>
            </w:tcBorders>
            <w:shd w:val="clear" w:color="auto" w:fill="auto"/>
            <w:noWrap/>
            <w:vAlign w:val="center"/>
            <w:hideMark/>
          </w:tcPr>
          <w:p w14:paraId="4EF6673D"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25/4%</w:t>
            </w:r>
          </w:p>
        </w:tc>
        <w:tc>
          <w:tcPr>
            <w:tcW w:w="1229" w:type="dxa"/>
            <w:tcBorders>
              <w:top w:val="nil"/>
              <w:left w:val="nil"/>
              <w:bottom w:val="single" w:sz="4" w:space="0" w:color="auto"/>
              <w:right w:val="single" w:sz="4" w:space="0" w:color="auto"/>
            </w:tcBorders>
            <w:shd w:val="clear" w:color="auto" w:fill="auto"/>
            <w:noWrap/>
            <w:vAlign w:val="center"/>
            <w:hideMark/>
          </w:tcPr>
          <w:p w14:paraId="5DE366C0"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19/8%</w:t>
            </w:r>
          </w:p>
        </w:tc>
        <w:tc>
          <w:tcPr>
            <w:tcW w:w="1161" w:type="dxa"/>
            <w:tcBorders>
              <w:top w:val="nil"/>
              <w:left w:val="nil"/>
              <w:bottom w:val="single" w:sz="4" w:space="0" w:color="auto"/>
              <w:right w:val="single" w:sz="4" w:space="0" w:color="auto"/>
            </w:tcBorders>
            <w:shd w:val="clear" w:color="auto" w:fill="auto"/>
            <w:noWrap/>
            <w:vAlign w:val="center"/>
            <w:hideMark/>
          </w:tcPr>
          <w:p w14:paraId="77E9C8EF"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106/15%</w:t>
            </w:r>
          </w:p>
        </w:tc>
        <w:tc>
          <w:tcPr>
            <w:tcW w:w="2350" w:type="dxa"/>
            <w:tcBorders>
              <w:top w:val="nil"/>
              <w:left w:val="nil"/>
              <w:bottom w:val="single" w:sz="4" w:space="0" w:color="auto"/>
              <w:right w:val="single" w:sz="4" w:space="0" w:color="auto"/>
            </w:tcBorders>
            <w:shd w:val="clear" w:color="auto" w:fill="auto"/>
            <w:noWrap/>
            <w:vAlign w:val="center"/>
            <w:hideMark/>
          </w:tcPr>
          <w:p w14:paraId="5ECE7C52"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236/27%</w:t>
            </w:r>
          </w:p>
        </w:tc>
        <w:tc>
          <w:tcPr>
            <w:tcW w:w="1047" w:type="dxa"/>
            <w:tcBorders>
              <w:top w:val="nil"/>
              <w:left w:val="nil"/>
              <w:bottom w:val="single" w:sz="4" w:space="0" w:color="auto"/>
              <w:right w:val="single" w:sz="4" w:space="0" w:color="auto"/>
            </w:tcBorders>
            <w:shd w:val="clear" w:color="auto" w:fill="auto"/>
            <w:noWrap/>
            <w:vAlign w:val="center"/>
            <w:hideMark/>
          </w:tcPr>
          <w:p w14:paraId="32844D9A"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89/17%</w:t>
            </w:r>
          </w:p>
        </w:tc>
      </w:tr>
      <w:tr w:rsidR="00B75149" w:rsidRPr="00380805" w14:paraId="7A0BAC73" w14:textId="77777777" w:rsidTr="00B75149">
        <w:trPr>
          <w:trHeight w:val="645"/>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14:paraId="12EC438D"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21-30 years</w:t>
            </w:r>
          </w:p>
        </w:tc>
        <w:tc>
          <w:tcPr>
            <w:tcW w:w="973" w:type="dxa"/>
            <w:tcBorders>
              <w:top w:val="nil"/>
              <w:left w:val="nil"/>
              <w:bottom w:val="single" w:sz="4" w:space="0" w:color="auto"/>
              <w:right w:val="single" w:sz="4" w:space="0" w:color="auto"/>
            </w:tcBorders>
            <w:shd w:val="clear" w:color="auto" w:fill="auto"/>
            <w:noWrap/>
            <w:vAlign w:val="center"/>
            <w:hideMark/>
          </w:tcPr>
          <w:p w14:paraId="0CE842DB"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92/13%</w:t>
            </w:r>
          </w:p>
        </w:tc>
        <w:tc>
          <w:tcPr>
            <w:tcW w:w="1161" w:type="dxa"/>
            <w:tcBorders>
              <w:top w:val="nil"/>
              <w:left w:val="nil"/>
              <w:bottom w:val="single" w:sz="4" w:space="0" w:color="auto"/>
              <w:right w:val="single" w:sz="4" w:space="0" w:color="auto"/>
            </w:tcBorders>
            <w:shd w:val="clear" w:color="auto" w:fill="auto"/>
            <w:noWrap/>
            <w:vAlign w:val="center"/>
            <w:hideMark/>
          </w:tcPr>
          <w:p w14:paraId="45597BBD"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156/23%</w:t>
            </w:r>
          </w:p>
        </w:tc>
        <w:tc>
          <w:tcPr>
            <w:tcW w:w="1229" w:type="dxa"/>
            <w:tcBorders>
              <w:top w:val="nil"/>
              <w:left w:val="nil"/>
              <w:bottom w:val="single" w:sz="4" w:space="0" w:color="auto"/>
              <w:right w:val="single" w:sz="4" w:space="0" w:color="auto"/>
            </w:tcBorders>
            <w:shd w:val="clear" w:color="auto" w:fill="auto"/>
            <w:noWrap/>
            <w:vAlign w:val="center"/>
            <w:hideMark/>
          </w:tcPr>
          <w:p w14:paraId="14ECD3A2"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57/23%</w:t>
            </w:r>
          </w:p>
        </w:tc>
        <w:tc>
          <w:tcPr>
            <w:tcW w:w="1161" w:type="dxa"/>
            <w:tcBorders>
              <w:top w:val="nil"/>
              <w:left w:val="nil"/>
              <w:bottom w:val="single" w:sz="4" w:space="0" w:color="auto"/>
              <w:right w:val="single" w:sz="4" w:space="0" w:color="auto"/>
            </w:tcBorders>
            <w:shd w:val="clear" w:color="auto" w:fill="auto"/>
            <w:noWrap/>
            <w:vAlign w:val="center"/>
            <w:hideMark/>
          </w:tcPr>
          <w:p w14:paraId="5C7FBCC0"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126/17%</w:t>
            </w:r>
          </w:p>
        </w:tc>
        <w:tc>
          <w:tcPr>
            <w:tcW w:w="2350" w:type="dxa"/>
            <w:tcBorders>
              <w:top w:val="nil"/>
              <w:left w:val="nil"/>
              <w:bottom w:val="single" w:sz="4" w:space="0" w:color="auto"/>
              <w:right w:val="single" w:sz="4" w:space="0" w:color="auto"/>
            </w:tcBorders>
            <w:shd w:val="clear" w:color="auto" w:fill="auto"/>
            <w:noWrap/>
            <w:vAlign w:val="center"/>
            <w:hideMark/>
          </w:tcPr>
          <w:p w14:paraId="2B78F5DB"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129/15%</w:t>
            </w:r>
          </w:p>
        </w:tc>
        <w:tc>
          <w:tcPr>
            <w:tcW w:w="1047" w:type="dxa"/>
            <w:tcBorders>
              <w:top w:val="nil"/>
              <w:left w:val="nil"/>
              <w:bottom w:val="single" w:sz="4" w:space="0" w:color="auto"/>
              <w:right w:val="single" w:sz="4" w:space="0" w:color="auto"/>
            </w:tcBorders>
            <w:shd w:val="clear" w:color="auto" w:fill="auto"/>
            <w:noWrap/>
            <w:vAlign w:val="center"/>
            <w:hideMark/>
          </w:tcPr>
          <w:p w14:paraId="5A7C9FCF"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107/21%</w:t>
            </w:r>
          </w:p>
        </w:tc>
      </w:tr>
      <w:tr w:rsidR="00B75149" w:rsidRPr="00380805" w14:paraId="4113A2C4" w14:textId="77777777" w:rsidTr="00B75149">
        <w:trPr>
          <w:trHeight w:val="645"/>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14:paraId="2CE3B954"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31-40 years</w:t>
            </w:r>
          </w:p>
        </w:tc>
        <w:tc>
          <w:tcPr>
            <w:tcW w:w="973" w:type="dxa"/>
            <w:tcBorders>
              <w:top w:val="nil"/>
              <w:left w:val="nil"/>
              <w:bottom w:val="single" w:sz="4" w:space="0" w:color="auto"/>
              <w:right w:val="single" w:sz="4" w:space="0" w:color="auto"/>
            </w:tcBorders>
            <w:shd w:val="clear" w:color="auto" w:fill="auto"/>
            <w:noWrap/>
            <w:vAlign w:val="center"/>
            <w:hideMark/>
          </w:tcPr>
          <w:p w14:paraId="3749A79A"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136/19%</w:t>
            </w:r>
          </w:p>
        </w:tc>
        <w:tc>
          <w:tcPr>
            <w:tcW w:w="1161" w:type="dxa"/>
            <w:tcBorders>
              <w:top w:val="nil"/>
              <w:left w:val="nil"/>
              <w:bottom w:val="single" w:sz="4" w:space="0" w:color="auto"/>
              <w:right w:val="single" w:sz="4" w:space="0" w:color="auto"/>
            </w:tcBorders>
            <w:shd w:val="clear" w:color="auto" w:fill="auto"/>
            <w:noWrap/>
            <w:vAlign w:val="center"/>
            <w:hideMark/>
          </w:tcPr>
          <w:p w14:paraId="1FAFA1DA"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222/32%</w:t>
            </w:r>
          </w:p>
        </w:tc>
        <w:tc>
          <w:tcPr>
            <w:tcW w:w="1229" w:type="dxa"/>
            <w:tcBorders>
              <w:top w:val="nil"/>
              <w:left w:val="nil"/>
              <w:bottom w:val="single" w:sz="4" w:space="0" w:color="auto"/>
              <w:right w:val="single" w:sz="4" w:space="0" w:color="auto"/>
            </w:tcBorders>
            <w:shd w:val="clear" w:color="auto" w:fill="auto"/>
            <w:noWrap/>
            <w:vAlign w:val="center"/>
            <w:hideMark/>
          </w:tcPr>
          <w:p w14:paraId="2FE0F90B"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63/25%</w:t>
            </w:r>
          </w:p>
        </w:tc>
        <w:tc>
          <w:tcPr>
            <w:tcW w:w="1161" w:type="dxa"/>
            <w:tcBorders>
              <w:top w:val="nil"/>
              <w:left w:val="nil"/>
              <w:bottom w:val="single" w:sz="4" w:space="0" w:color="auto"/>
              <w:right w:val="single" w:sz="4" w:space="0" w:color="auto"/>
            </w:tcBorders>
            <w:shd w:val="clear" w:color="auto" w:fill="auto"/>
            <w:noWrap/>
            <w:vAlign w:val="center"/>
            <w:hideMark/>
          </w:tcPr>
          <w:p w14:paraId="64BEF475"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45/6%</w:t>
            </w:r>
          </w:p>
        </w:tc>
        <w:tc>
          <w:tcPr>
            <w:tcW w:w="2350" w:type="dxa"/>
            <w:tcBorders>
              <w:top w:val="nil"/>
              <w:left w:val="nil"/>
              <w:bottom w:val="single" w:sz="4" w:space="0" w:color="auto"/>
              <w:right w:val="single" w:sz="4" w:space="0" w:color="auto"/>
            </w:tcBorders>
            <w:shd w:val="clear" w:color="auto" w:fill="auto"/>
            <w:noWrap/>
            <w:vAlign w:val="center"/>
            <w:hideMark/>
          </w:tcPr>
          <w:p w14:paraId="0CB52810"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113/13%</w:t>
            </w:r>
          </w:p>
        </w:tc>
        <w:tc>
          <w:tcPr>
            <w:tcW w:w="1047" w:type="dxa"/>
            <w:tcBorders>
              <w:top w:val="nil"/>
              <w:left w:val="nil"/>
              <w:bottom w:val="single" w:sz="4" w:space="0" w:color="auto"/>
              <w:right w:val="single" w:sz="4" w:space="0" w:color="auto"/>
            </w:tcBorders>
            <w:shd w:val="clear" w:color="auto" w:fill="auto"/>
            <w:noWrap/>
            <w:vAlign w:val="center"/>
            <w:hideMark/>
          </w:tcPr>
          <w:p w14:paraId="1CCEB572"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103/20%</w:t>
            </w:r>
          </w:p>
        </w:tc>
      </w:tr>
      <w:tr w:rsidR="00B75149" w:rsidRPr="00380805" w14:paraId="7FBCF1A2" w14:textId="77777777" w:rsidTr="00B75149">
        <w:trPr>
          <w:trHeight w:val="645"/>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14:paraId="29581691"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41-50 years</w:t>
            </w:r>
          </w:p>
        </w:tc>
        <w:tc>
          <w:tcPr>
            <w:tcW w:w="973" w:type="dxa"/>
            <w:tcBorders>
              <w:top w:val="nil"/>
              <w:left w:val="nil"/>
              <w:bottom w:val="single" w:sz="4" w:space="0" w:color="auto"/>
              <w:right w:val="single" w:sz="4" w:space="0" w:color="auto"/>
            </w:tcBorders>
            <w:shd w:val="clear" w:color="auto" w:fill="auto"/>
            <w:noWrap/>
            <w:vAlign w:val="center"/>
            <w:hideMark/>
          </w:tcPr>
          <w:p w14:paraId="33667897"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63/9%</w:t>
            </w:r>
          </w:p>
        </w:tc>
        <w:tc>
          <w:tcPr>
            <w:tcW w:w="1161" w:type="dxa"/>
            <w:tcBorders>
              <w:top w:val="nil"/>
              <w:left w:val="nil"/>
              <w:bottom w:val="single" w:sz="4" w:space="0" w:color="auto"/>
              <w:right w:val="single" w:sz="4" w:space="0" w:color="auto"/>
            </w:tcBorders>
            <w:shd w:val="clear" w:color="auto" w:fill="auto"/>
            <w:noWrap/>
            <w:vAlign w:val="center"/>
            <w:hideMark/>
          </w:tcPr>
          <w:p w14:paraId="7D2D105E"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73/11%</w:t>
            </w:r>
          </w:p>
        </w:tc>
        <w:tc>
          <w:tcPr>
            <w:tcW w:w="1229" w:type="dxa"/>
            <w:tcBorders>
              <w:top w:val="nil"/>
              <w:left w:val="nil"/>
              <w:bottom w:val="single" w:sz="4" w:space="0" w:color="auto"/>
              <w:right w:val="single" w:sz="4" w:space="0" w:color="auto"/>
            </w:tcBorders>
            <w:shd w:val="clear" w:color="auto" w:fill="auto"/>
            <w:noWrap/>
            <w:vAlign w:val="center"/>
            <w:hideMark/>
          </w:tcPr>
          <w:p w14:paraId="44D9EC58"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26/10%</w:t>
            </w:r>
          </w:p>
        </w:tc>
        <w:tc>
          <w:tcPr>
            <w:tcW w:w="1161" w:type="dxa"/>
            <w:tcBorders>
              <w:top w:val="nil"/>
              <w:left w:val="nil"/>
              <w:bottom w:val="single" w:sz="4" w:space="0" w:color="auto"/>
              <w:right w:val="single" w:sz="4" w:space="0" w:color="auto"/>
            </w:tcBorders>
            <w:shd w:val="clear" w:color="auto" w:fill="auto"/>
            <w:noWrap/>
            <w:vAlign w:val="center"/>
            <w:hideMark/>
          </w:tcPr>
          <w:p w14:paraId="774CD218"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25/3%</w:t>
            </w:r>
          </w:p>
        </w:tc>
        <w:tc>
          <w:tcPr>
            <w:tcW w:w="2350" w:type="dxa"/>
            <w:tcBorders>
              <w:top w:val="nil"/>
              <w:left w:val="nil"/>
              <w:bottom w:val="single" w:sz="4" w:space="0" w:color="auto"/>
              <w:right w:val="single" w:sz="4" w:space="0" w:color="auto"/>
            </w:tcBorders>
            <w:shd w:val="clear" w:color="auto" w:fill="auto"/>
            <w:noWrap/>
            <w:vAlign w:val="center"/>
            <w:hideMark/>
          </w:tcPr>
          <w:p w14:paraId="5924D2A9"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73/8%</w:t>
            </w:r>
          </w:p>
        </w:tc>
        <w:tc>
          <w:tcPr>
            <w:tcW w:w="1047" w:type="dxa"/>
            <w:tcBorders>
              <w:top w:val="nil"/>
              <w:left w:val="nil"/>
              <w:bottom w:val="single" w:sz="4" w:space="0" w:color="auto"/>
              <w:right w:val="single" w:sz="4" w:space="0" w:color="auto"/>
            </w:tcBorders>
            <w:shd w:val="clear" w:color="auto" w:fill="auto"/>
            <w:noWrap/>
            <w:vAlign w:val="center"/>
            <w:hideMark/>
          </w:tcPr>
          <w:p w14:paraId="74B2859E"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28/5%</w:t>
            </w:r>
          </w:p>
        </w:tc>
      </w:tr>
      <w:tr w:rsidR="00B75149" w:rsidRPr="00380805" w14:paraId="7EAFA240" w14:textId="77777777" w:rsidTr="00B75149">
        <w:trPr>
          <w:trHeight w:val="322"/>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14:paraId="0E8EE225"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51 + years</w:t>
            </w:r>
          </w:p>
        </w:tc>
        <w:tc>
          <w:tcPr>
            <w:tcW w:w="973" w:type="dxa"/>
            <w:tcBorders>
              <w:top w:val="nil"/>
              <w:left w:val="nil"/>
              <w:bottom w:val="single" w:sz="4" w:space="0" w:color="auto"/>
              <w:right w:val="single" w:sz="4" w:space="0" w:color="auto"/>
            </w:tcBorders>
            <w:shd w:val="clear" w:color="auto" w:fill="auto"/>
            <w:noWrap/>
            <w:vAlign w:val="center"/>
            <w:hideMark/>
          </w:tcPr>
          <w:p w14:paraId="1A865686"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57/8%</w:t>
            </w:r>
          </w:p>
        </w:tc>
        <w:tc>
          <w:tcPr>
            <w:tcW w:w="1161" w:type="dxa"/>
            <w:tcBorders>
              <w:top w:val="nil"/>
              <w:left w:val="nil"/>
              <w:bottom w:val="single" w:sz="4" w:space="0" w:color="auto"/>
              <w:right w:val="single" w:sz="4" w:space="0" w:color="auto"/>
            </w:tcBorders>
            <w:shd w:val="clear" w:color="auto" w:fill="auto"/>
            <w:noWrap/>
            <w:vAlign w:val="center"/>
            <w:hideMark/>
          </w:tcPr>
          <w:p w14:paraId="2EB2052F"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150/22%</w:t>
            </w:r>
          </w:p>
        </w:tc>
        <w:tc>
          <w:tcPr>
            <w:tcW w:w="1229" w:type="dxa"/>
            <w:tcBorders>
              <w:top w:val="nil"/>
              <w:left w:val="nil"/>
              <w:bottom w:val="single" w:sz="4" w:space="0" w:color="auto"/>
              <w:right w:val="single" w:sz="4" w:space="0" w:color="auto"/>
            </w:tcBorders>
            <w:shd w:val="clear" w:color="auto" w:fill="auto"/>
            <w:noWrap/>
            <w:vAlign w:val="center"/>
            <w:hideMark/>
          </w:tcPr>
          <w:p w14:paraId="7E7D9FE1"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31/12%</w:t>
            </w:r>
          </w:p>
        </w:tc>
        <w:tc>
          <w:tcPr>
            <w:tcW w:w="1161" w:type="dxa"/>
            <w:tcBorders>
              <w:top w:val="nil"/>
              <w:left w:val="nil"/>
              <w:bottom w:val="single" w:sz="4" w:space="0" w:color="auto"/>
              <w:right w:val="single" w:sz="4" w:space="0" w:color="auto"/>
            </w:tcBorders>
            <w:shd w:val="clear" w:color="auto" w:fill="auto"/>
            <w:noWrap/>
            <w:vAlign w:val="center"/>
            <w:hideMark/>
          </w:tcPr>
          <w:p w14:paraId="346B89B4"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104/14%</w:t>
            </w:r>
          </w:p>
        </w:tc>
        <w:tc>
          <w:tcPr>
            <w:tcW w:w="2350" w:type="dxa"/>
            <w:tcBorders>
              <w:top w:val="nil"/>
              <w:left w:val="nil"/>
              <w:bottom w:val="single" w:sz="4" w:space="0" w:color="auto"/>
              <w:right w:val="single" w:sz="4" w:space="0" w:color="auto"/>
            </w:tcBorders>
            <w:shd w:val="clear" w:color="auto" w:fill="auto"/>
            <w:noWrap/>
            <w:vAlign w:val="center"/>
            <w:hideMark/>
          </w:tcPr>
          <w:p w14:paraId="1C8E87BF"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122/14%</w:t>
            </w:r>
          </w:p>
        </w:tc>
        <w:tc>
          <w:tcPr>
            <w:tcW w:w="1047" w:type="dxa"/>
            <w:tcBorders>
              <w:top w:val="nil"/>
              <w:left w:val="nil"/>
              <w:bottom w:val="single" w:sz="4" w:space="0" w:color="auto"/>
              <w:right w:val="single" w:sz="4" w:space="0" w:color="auto"/>
            </w:tcBorders>
            <w:shd w:val="clear" w:color="auto" w:fill="auto"/>
            <w:noWrap/>
            <w:vAlign w:val="center"/>
            <w:hideMark/>
          </w:tcPr>
          <w:p w14:paraId="22FA7D8F"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26/5%</w:t>
            </w:r>
          </w:p>
        </w:tc>
      </w:tr>
      <w:tr w:rsidR="00B75149" w:rsidRPr="00380805" w14:paraId="4D873EAF" w14:textId="77777777" w:rsidTr="00B75149">
        <w:trPr>
          <w:trHeight w:val="322"/>
        </w:trPr>
        <w:tc>
          <w:tcPr>
            <w:tcW w:w="1760" w:type="dxa"/>
            <w:tcBorders>
              <w:top w:val="nil"/>
              <w:left w:val="single" w:sz="4" w:space="0" w:color="auto"/>
              <w:bottom w:val="single" w:sz="4" w:space="0" w:color="auto"/>
              <w:right w:val="single" w:sz="4" w:space="0" w:color="auto"/>
            </w:tcBorders>
            <w:shd w:val="clear" w:color="000000" w:fill="E7E6E6"/>
            <w:noWrap/>
            <w:vAlign w:val="center"/>
            <w:hideMark/>
          </w:tcPr>
          <w:p w14:paraId="32F06025"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Total Units</w:t>
            </w:r>
          </w:p>
        </w:tc>
        <w:tc>
          <w:tcPr>
            <w:tcW w:w="973" w:type="dxa"/>
            <w:tcBorders>
              <w:top w:val="nil"/>
              <w:left w:val="nil"/>
              <w:bottom w:val="single" w:sz="4" w:space="0" w:color="auto"/>
              <w:right w:val="single" w:sz="4" w:space="0" w:color="auto"/>
            </w:tcBorders>
            <w:shd w:val="clear" w:color="auto" w:fill="auto"/>
            <w:noWrap/>
            <w:vAlign w:val="center"/>
            <w:hideMark/>
          </w:tcPr>
          <w:p w14:paraId="4AA53EB0"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726/100%</w:t>
            </w:r>
          </w:p>
        </w:tc>
        <w:tc>
          <w:tcPr>
            <w:tcW w:w="1161" w:type="dxa"/>
            <w:tcBorders>
              <w:top w:val="nil"/>
              <w:left w:val="nil"/>
              <w:bottom w:val="single" w:sz="4" w:space="0" w:color="auto"/>
              <w:right w:val="single" w:sz="4" w:space="0" w:color="auto"/>
            </w:tcBorders>
            <w:shd w:val="clear" w:color="auto" w:fill="auto"/>
            <w:noWrap/>
            <w:vAlign w:val="center"/>
            <w:hideMark/>
          </w:tcPr>
          <w:p w14:paraId="4062B836"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686/100%</w:t>
            </w:r>
          </w:p>
        </w:tc>
        <w:tc>
          <w:tcPr>
            <w:tcW w:w="1229" w:type="dxa"/>
            <w:tcBorders>
              <w:top w:val="nil"/>
              <w:left w:val="nil"/>
              <w:bottom w:val="single" w:sz="4" w:space="0" w:color="auto"/>
              <w:right w:val="single" w:sz="4" w:space="0" w:color="auto"/>
            </w:tcBorders>
            <w:shd w:val="clear" w:color="auto" w:fill="auto"/>
            <w:noWrap/>
            <w:vAlign w:val="center"/>
            <w:hideMark/>
          </w:tcPr>
          <w:p w14:paraId="2641B407"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253/100%</w:t>
            </w:r>
          </w:p>
        </w:tc>
        <w:tc>
          <w:tcPr>
            <w:tcW w:w="1161" w:type="dxa"/>
            <w:tcBorders>
              <w:top w:val="nil"/>
              <w:left w:val="nil"/>
              <w:bottom w:val="single" w:sz="4" w:space="0" w:color="auto"/>
              <w:right w:val="single" w:sz="4" w:space="0" w:color="auto"/>
            </w:tcBorders>
            <w:shd w:val="clear" w:color="auto" w:fill="auto"/>
            <w:noWrap/>
            <w:vAlign w:val="center"/>
            <w:hideMark/>
          </w:tcPr>
          <w:p w14:paraId="41A4442A"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727/100%</w:t>
            </w:r>
          </w:p>
        </w:tc>
        <w:tc>
          <w:tcPr>
            <w:tcW w:w="2350" w:type="dxa"/>
            <w:tcBorders>
              <w:top w:val="nil"/>
              <w:left w:val="nil"/>
              <w:bottom w:val="single" w:sz="4" w:space="0" w:color="auto"/>
              <w:right w:val="single" w:sz="4" w:space="0" w:color="auto"/>
            </w:tcBorders>
            <w:shd w:val="clear" w:color="auto" w:fill="auto"/>
            <w:noWrap/>
            <w:vAlign w:val="center"/>
            <w:hideMark/>
          </w:tcPr>
          <w:p w14:paraId="55D7CE02"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889/100%</w:t>
            </w:r>
          </w:p>
        </w:tc>
        <w:tc>
          <w:tcPr>
            <w:tcW w:w="1047" w:type="dxa"/>
            <w:tcBorders>
              <w:top w:val="nil"/>
              <w:left w:val="nil"/>
              <w:bottom w:val="single" w:sz="4" w:space="0" w:color="auto"/>
              <w:right w:val="single" w:sz="4" w:space="0" w:color="auto"/>
            </w:tcBorders>
            <w:shd w:val="clear" w:color="auto" w:fill="auto"/>
            <w:noWrap/>
            <w:vAlign w:val="center"/>
            <w:hideMark/>
          </w:tcPr>
          <w:p w14:paraId="5306F8E5" w14:textId="77777777" w:rsidR="00380805" w:rsidRPr="00380805" w:rsidRDefault="00380805" w:rsidP="00380805">
            <w:pPr>
              <w:spacing w:after="0" w:line="240" w:lineRule="auto"/>
              <w:jc w:val="both"/>
              <w:rPr>
                <w:rFonts w:ascii="Calibri" w:eastAsia="Times New Roman" w:hAnsi="Calibri" w:cs="Times New Roman"/>
                <w:color w:val="000000"/>
              </w:rPr>
            </w:pPr>
            <w:r w:rsidRPr="00380805">
              <w:rPr>
                <w:rFonts w:ascii="Calibri" w:eastAsia="Times New Roman" w:hAnsi="Calibri" w:cs="Times New Roman"/>
                <w:color w:val="000000"/>
              </w:rPr>
              <w:t>510/100%</w:t>
            </w:r>
          </w:p>
        </w:tc>
      </w:tr>
    </w:tbl>
    <w:p w14:paraId="587CA314" w14:textId="77777777" w:rsidR="00A84E30" w:rsidRPr="00222581" w:rsidRDefault="00A84E30" w:rsidP="00B75149">
      <w:pPr>
        <w:tabs>
          <w:tab w:val="left" w:pos="360"/>
          <w:tab w:val="left" w:pos="8460"/>
        </w:tabs>
        <w:spacing w:line="280" w:lineRule="atLeast"/>
        <w:ind w:right="15"/>
        <w:jc w:val="both"/>
      </w:pPr>
      <w:r w:rsidRPr="00222581">
        <w:rPr>
          <w:i/>
        </w:rPr>
        <w:t>Sources: U.S. Census 2000, Summary File 3, Table H34.</w:t>
      </w:r>
    </w:p>
    <w:p w14:paraId="4089187F" w14:textId="77777777" w:rsidR="00885ACB" w:rsidRPr="00885ACB" w:rsidRDefault="00885ACB" w:rsidP="00885ACB">
      <w:pPr>
        <w:tabs>
          <w:tab w:val="left" w:pos="1080"/>
        </w:tabs>
        <w:spacing w:line="280" w:lineRule="atLeast"/>
        <w:jc w:val="both"/>
      </w:pPr>
      <w:r w:rsidRPr="00885ACB">
        <w:t xml:space="preserve">In Long Valley and June Lake many of the housing units built more than 40 years ago were originally constructed as seasonal cabins. </w:t>
      </w:r>
    </w:p>
    <w:p w14:paraId="667D9EFE" w14:textId="73A315F2" w:rsidR="00885ACB" w:rsidRPr="00885ACB" w:rsidRDefault="00885ACB" w:rsidP="00885ACB">
      <w:pPr>
        <w:spacing w:line="280" w:lineRule="atLeast"/>
        <w:jc w:val="both"/>
      </w:pPr>
      <w:r w:rsidRPr="00885ACB">
        <w:t xml:space="preserve">In general, Mono County's housing stock is in fair to good condition. Approximately 60 percent of all housing units in the unincorporated area have been built in the past 30 years. There are areas in the County, however, where maintenance and rehabilitation of the housing stock is an issue. Funding is available from the CDBG Rehabilitation Loan Program. Specific programs provide funds for </w:t>
      </w:r>
      <w:r w:rsidR="00504894">
        <w:t xml:space="preserve">single-family home repair loans </w:t>
      </w:r>
      <w:r w:rsidR="00504894" w:rsidRPr="00776763">
        <w:t>and</w:t>
      </w:r>
      <w:r w:rsidRPr="00504894">
        <w:rPr>
          <w:color w:val="FF0000"/>
        </w:rPr>
        <w:t xml:space="preserve"> </w:t>
      </w:r>
      <w:r w:rsidRPr="00885ACB">
        <w:t>emergency repair</w:t>
      </w:r>
      <w:r w:rsidR="00776763">
        <w:rPr>
          <w:color w:val="FF0000"/>
        </w:rPr>
        <w:t xml:space="preserve">. </w:t>
      </w:r>
      <w:r w:rsidR="00A640D3" w:rsidRPr="00885ACB">
        <w:t xml:space="preserve">Over the years, many of those units have been converted to year-round housing. In Bridgeport Valley and Mono Basin, many of the older housing units were constructed as primary residences and have been maintained </w:t>
      </w:r>
      <w:r w:rsidRPr="00885ACB">
        <w:t>and accessibility grants, exterior enhancement rebates, weatherization and home security grants for seniors, and a multifamily rehabilitation loan program.</w:t>
      </w:r>
    </w:p>
    <w:p w14:paraId="7C4974D3" w14:textId="77777777" w:rsidR="00885ACB" w:rsidRPr="00885ACB" w:rsidRDefault="00885ACB" w:rsidP="00885ACB">
      <w:pPr>
        <w:spacing w:after="0" w:line="280" w:lineRule="atLeast"/>
        <w:jc w:val="both"/>
      </w:pPr>
    </w:p>
    <w:p w14:paraId="2913BAD7" w14:textId="77777777" w:rsidR="00885ACB" w:rsidRDefault="002E1FEA" w:rsidP="00EF449A">
      <w:pPr>
        <w:pStyle w:val="Heading2"/>
      </w:pPr>
      <w:bookmarkStart w:id="100" w:name="_Toc383700009"/>
      <w:r>
        <w:t xml:space="preserve">E. </w:t>
      </w:r>
      <w:r w:rsidR="00885ACB" w:rsidRPr="00885ACB">
        <w:t>SPECIAL HOUSING NEEDS</w:t>
      </w:r>
      <w:bookmarkEnd w:id="100"/>
    </w:p>
    <w:p w14:paraId="74F38B11" w14:textId="77777777" w:rsidR="00885ACB" w:rsidRPr="00885ACB" w:rsidRDefault="002E1FEA" w:rsidP="00EF449A">
      <w:pPr>
        <w:pStyle w:val="Heading3"/>
      </w:pPr>
      <w:bookmarkStart w:id="101" w:name="_Toc383700010"/>
      <w:r>
        <w:t xml:space="preserve">a. </w:t>
      </w:r>
      <w:r w:rsidR="00885ACB" w:rsidRPr="00885ACB">
        <w:t>PERSONS WITH DISABILITIES</w:t>
      </w:r>
      <w:bookmarkEnd w:id="101"/>
      <w:r w:rsidR="00885ACB" w:rsidRPr="00885ACB">
        <w:fldChar w:fldCharType="begin"/>
      </w:r>
      <w:r w:rsidR="00885ACB" w:rsidRPr="00885ACB">
        <w:instrText xml:space="preserve"> TC"</w:instrText>
      </w:r>
      <w:bookmarkStart w:id="102" w:name="_Toc53806444"/>
      <w:bookmarkStart w:id="103" w:name="_Toc66156036"/>
      <w:bookmarkStart w:id="104" w:name="_Toc76443956"/>
      <w:bookmarkStart w:id="105" w:name="_Toc123887104"/>
      <w:r w:rsidR="00885ACB" w:rsidRPr="00885ACB">
        <w:instrText>Persons with Disabilities</w:instrText>
      </w:r>
      <w:bookmarkEnd w:id="102"/>
      <w:bookmarkEnd w:id="103"/>
      <w:bookmarkEnd w:id="104"/>
      <w:bookmarkEnd w:id="105"/>
      <w:r w:rsidR="00885ACB" w:rsidRPr="00885ACB">
        <w:instrText>"\l 3</w:instrText>
      </w:r>
      <w:r w:rsidR="00885ACB" w:rsidRPr="00885ACB">
        <w:fldChar w:fldCharType="end"/>
      </w:r>
    </w:p>
    <w:p w14:paraId="3E2AF786" w14:textId="77777777" w:rsidR="00885ACB" w:rsidRPr="00885ACB" w:rsidRDefault="00885ACB" w:rsidP="00885ACB">
      <w:pPr>
        <w:tabs>
          <w:tab w:val="num" w:pos="2520"/>
        </w:tabs>
        <w:spacing w:after="0" w:line="280" w:lineRule="atLeast"/>
        <w:jc w:val="both"/>
      </w:pPr>
      <w:r w:rsidRPr="00885ACB">
        <w:t>While persons with disabilities do not represent a significant portion of the population in the unincorporated area of the County, adequate housing remains an important concern. In 2010, a total of 861 persons had a disability, approximately a quarter of whom (249 persons, Table 34) were not employed, and approximately one quarter were over the age of 65 (222 persons, Table 35).</w:t>
      </w:r>
    </w:p>
    <w:p w14:paraId="11669C56" w14:textId="77777777" w:rsidR="00885ACB" w:rsidRDefault="00885ACB" w:rsidP="00885ACB">
      <w:pPr>
        <w:spacing w:after="0" w:line="280" w:lineRule="atLeast"/>
        <w:jc w:val="both"/>
      </w:pPr>
    </w:p>
    <w:p w14:paraId="28883BC0" w14:textId="77777777" w:rsidR="00885ACB" w:rsidRPr="00885ACB" w:rsidRDefault="00885ACB" w:rsidP="00885ACB">
      <w:pPr>
        <w:spacing w:after="0" w:line="280" w:lineRule="atLeast"/>
        <w:jc w:val="both"/>
      </w:pPr>
      <w:r w:rsidRPr="00885ACB">
        <w:t xml:space="preserve">The Inyo Mono Association for the Handicapped (IMAH) serves disabled adults 18 and older, primarily with vocational training, supported employment and similar programs. The Inyo Mono Area Agency on Aging (IMAAA) contracts with the Mono County Department of Social Services to provide Mono County Senior Services (MCSS).  IMAAA also operates the Linkages program in Mono County, which links vulnerable seniors and disabled adults to service in order to enhance their ability to maintain their independence.  Mono County Senior Services (MCSS) </w:t>
      </w:r>
      <w:r w:rsidRPr="00885ACB">
        <w:rPr>
          <w:rFonts w:cs="ArialMT"/>
          <w:lang w:bidi="en-US"/>
        </w:rPr>
        <w:t xml:space="preserve">delivers meals to 28 homes in Walker and serves 15 to 25 meals a day in the Walker Senior Center while 9 to 10 meals a day are delivered to the Benton area seniors.  MCSS also has 3 clients under the Linkages Program and 28 under In Home Supportive Services (IHSS) to assist those clients in remaining in their homes.  Other than the above, the Mono County Department of Social Services does not maintain </w:t>
      </w:r>
      <w:r w:rsidRPr="00885ACB">
        <w:t>information on how many people with disabilities they may assist. Social Services provides the following resources to people in need: CalWORKS, General Assistance, Food Stamps, Medi-Caland/or CMSP.</w:t>
      </w:r>
    </w:p>
    <w:p w14:paraId="0D690A8C" w14:textId="77777777" w:rsidR="00885ACB" w:rsidRDefault="00885ACB" w:rsidP="00885ACB">
      <w:pPr>
        <w:spacing w:after="0" w:line="280" w:lineRule="atLeast"/>
        <w:jc w:val="both"/>
      </w:pPr>
    </w:p>
    <w:p w14:paraId="11C64F84" w14:textId="77777777" w:rsidR="00885ACB" w:rsidRPr="00885ACB" w:rsidRDefault="00885ACB" w:rsidP="00885ACB">
      <w:pPr>
        <w:spacing w:after="0" w:line="280" w:lineRule="atLeast"/>
        <w:jc w:val="both"/>
      </w:pPr>
      <w:r w:rsidRPr="00885ACB">
        <w:t>Kern Regional Center serves disabled clients from Pearsonville in Kern County to Topaz in Mono County. Due to the size of its service area (16,000 square miles) and the relatively small number of clients (158 people), its services are prescriptive in nature and needs are addressed on an individual basis. They assist clients with adapting their homes and installing assistive devices but do not deal directly with housing.</w:t>
      </w:r>
    </w:p>
    <w:p w14:paraId="7FE52655" w14:textId="77777777" w:rsidR="00885ACB" w:rsidRDefault="00885ACB" w:rsidP="00885ACB">
      <w:pPr>
        <w:spacing w:after="0" w:line="280" w:lineRule="atLeast"/>
        <w:jc w:val="both"/>
      </w:pPr>
      <w:r w:rsidRPr="00885ACB">
        <w:t>The Inyo Mono Advocates for Community Action (IMACA) provide a variety of services for disabled, low-income, and homeless persons in Inyo and Mono counties. In unincorporated Mono County, IMACA provides help with retrofit programs (wheelchair ramps, assistive devices, etc.), home weatherization programs for low-income persons, child care, Head Start, and meals. It operates 25 low-income housing units in Mammoth Lakes as well as senior and low-income housing units in Inyo County. IMACA has  Section 8 vouchers that it uses primarily for rental assistance and shelter for homeless persons.</w:t>
      </w:r>
    </w:p>
    <w:p w14:paraId="14FC919A" w14:textId="77777777" w:rsidR="000064BC" w:rsidRDefault="000064BC" w:rsidP="000064BC"/>
    <w:p w14:paraId="386A8B33" w14:textId="77777777" w:rsidR="000064BC" w:rsidRDefault="000064BC" w:rsidP="000064BC">
      <w:r>
        <w:t>Table 17, Persons with Disability by Employment Status, Unincorporated Mono County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30"/>
        <w:gridCol w:w="1620"/>
        <w:gridCol w:w="1530"/>
      </w:tblGrid>
      <w:tr w:rsidR="000064BC" w:rsidRPr="00152FC6" w14:paraId="46948F0B" w14:textId="77777777" w:rsidTr="000064BC">
        <w:trPr>
          <w:trHeight w:val="87"/>
        </w:trPr>
        <w:tc>
          <w:tcPr>
            <w:tcW w:w="5130" w:type="dxa"/>
            <w:shd w:val="clear" w:color="auto" w:fill="E6E6E6"/>
          </w:tcPr>
          <w:p w14:paraId="6A6AFD97" w14:textId="77777777" w:rsidR="000064BC" w:rsidRPr="00152FC6" w:rsidRDefault="000064BC" w:rsidP="000064BC">
            <w:pPr>
              <w:spacing w:line="280" w:lineRule="atLeast"/>
              <w:rPr>
                <w:rFonts w:ascii="Palatino" w:hAnsi="Palatino"/>
                <w:b/>
              </w:rPr>
            </w:pPr>
          </w:p>
        </w:tc>
        <w:tc>
          <w:tcPr>
            <w:tcW w:w="1620" w:type="dxa"/>
            <w:shd w:val="clear" w:color="auto" w:fill="E6E6E6"/>
          </w:tcPr>
          <w:p w14:paraId="258F706F" w14:textId="77777777" w:rsidR="000064BC" w:rsidRPr="00152FC6" w:rsidRDefault="000064BC" w:rsidP="000064BC">
            <w:pPr>
              <w:tabs>
                <w:tab w:val="center" w:pos="702"/>
              </w:tabs>
              <w:spacing w:line="280" w:lineRule="atLeast"/>
              <w:rPr>
                <w:rFonts w:ascii="Palatino" w:hAnsi="Palatino"/>
                <w:b/>
              </w:rPr>
            </w:pPr>
            <w:r w:rsidRPr="00152FC6">
              <w:rPr>
                <w:rFonts w:ascii="Times New Roman" w:hAnsi="Times New Roman"/>
                <w:b/>
              </w:rPr>
              <w:tab/>
              <w:t>Number</w:t>
            </w:r>
          </w:p>
        </w:tc>
        <w:tc>
          <w:tcPr>
            <w:tcW w:w="1530" w:type="dxa"/>
            <w:shd w:val="clear" w:color="auto" w:fill="E6E6E6"/>
          </w:tcPr>
          <w:p w14:paraId="0AD91F5B" w14:textId="77777777" w:rsidR="000064BC" w:rsidRPr="00152FC6" w:rsidRDefault="000064BC" w:rsidP="000064BC">
            <w:pPr>
              <w:spacing w:line="280" w:lineRule="atLeast"/>
              <w:jc w:val="center"/>
              <w:rPr>
                <w:rFonts w:ascii="Palatino" w:hAnsi="Palatino"/>
                <w:b/>
              </w:rPr>
            </w:pPr>
            <w:r w:rsidRPr="00152FC6">
              <w:rPr>
                <w:rFonts w:ascii="Times New Roman" w:hAnsi="Times New Roman"/>
                <w:b/>
              </w:rPr>
              <w:t>Percent</w:t>
            </w:r>
          </w:p>
        </w:tc>
      </w:tr>
      <w:tr w:rsidR="000064BC" w:rsidRPr="009549B6" w14:paraId="3715FEE3" w14:textId="77777777" w:rsidTr="000064BC">
        <w:tc>
          <w:tcPr>
            <w:tcW w:w="5130" w:type="dxa"/>
          </w:tcPr>
          <w:p w14:paraId="4C40808C" w14:textId="77777777" w:rsidR="000064BC" w:rsidRPr="009549B6" w:rsidRDefault="000064BC" w:rsidP="000064BC">
            <w:pPr>
              <w:spacing w:line="280" w:lineRule="atLeast"/>
              <w:rPr>
                <w:rFonts w:ascii="Palatino" w:hAnsi="Palatino"/>
              </w:rPr>
            </w:pPr>
            <w:r w:rsidRPr="009549B6">
              <w:rPr>
                <w:rFonts w:ascii="Times New Roman" w:hAnsi="Times New Roman"/>
              </w:rPr>
              <w:t xml:space="preserve">Age </w:t>
            </w:r>
            <w:r>
              <w:rPr>
                <w:rFonts w:ascii="Times New Roman" w:hAnsi="Times New Roman"/>
              </w:rPr>
              <w:t>16</w:t>
            </w:r>
            <w:r w:rsidRPr="009549B6">
              <w:rPr>
                <w:rFonts w:ascii="Times New Roman" w:hAnsi="Times New Roman"/>
              </w:rPr>
              <w:t>-64, Employed Persons with a Disability</w:t>
            </w:r>
          </w:p>
        </w:tc>
        <w:tc>
          <w:tcPr>
            <w:tcW w:w="1620" w:type="dxa"/>
          </w:tcPr>
          <w:p w14:paraId="619055BF" w14:textId="77777777" w:rsidR="000064BC" w:rsidRPr="009549B6" w:rsidRDefault="000064BC" w:rsidP="000064BC">
            <w:pPr>
              <w:spacing w:line="280" w:lineRule="atLeast"/>
              <w:jc w:val="center"/>
              <w:rPr>
                <w:rFonts w:ascii="Palatino" w:hAnsi="Palatino"/>
              </w:rPr>
            </w:pPr>
            <w:r>
              <w:rPr>
                <w:rFonts w:ascii="Times New Roman" w:hAnsi="Times New Roman"/>
              </w:rPr>
              <w:t>385</w:t>
            </w:r>
          </w:p>
        </w:tc>
        <w:tc>
          <w:tcPr>
            <w:tcW w:w="1530" w:type="dxa"/>
          </w:tcPr>
          <w:p w14:paraId="793666E3" w14:textId="77777777" w:rsidR="000064BC" w:rsidRPr="009549B6" w:rsidRDefault="000064BC" w:rsidP="000064BC">
            <w:pPr>
              <w:spacing w:line="280" w:lineRule="atLeast"/>
              <w:jc w:val="center"/>
              <w:rPr>
                <w:rFonts w:ascii="Palatino" w:hAnsi="Palatino"/>
              </w:rPr>
            </w:pPr>
            <w:r>
              <w:rPr>
                <w:rFonts w:ascii="Times New Roman" w:hAnsi="Times New Roman"/>
              </w:rPr>
              <w:t>61.7</w:t>
            </w:r>
            <w:r w:rsidRPr="009549B6">
              <w:rPr>
                <w:rFonts w:ascii="Times New Roman" w:hAnsi="Times New Roman"/>
              </w:rPr>
              <w:t>%</w:t>
            </w:r>
          </w:p>
        </w:tc>
      </w:tr>
      <w:tr w:rsidR="000064BC" w:rsidRPr="009549B6" w14:paraId="5B2A902A" w14:textId="77777777" w:rsidTr="000064BC">
        <w:tc>
          <w:tcPr>
            <w:tcW w:w="5130" w:type="dxa"/>
          </w:tcPr>
          <w:p w14:paraId="61E01E02" w14:textId="77777777" w:rsidR="000064BC" w:rsidRPr="009549B6" w:rsidRDefault="000064BC" w:rsidP="000064BC">
            <w:pPr>
              <w:spacing w:line="280" w:lineRule="atLeast"/>
              <w:rPr>
                <w:rFonts w:ascii="Palatino" w:hAnsi="Palatino"/>
              </w:rPr>
            </w:pPr>
            <w:r w:rsidRPr="009549B6">
              <w:rPr>
                <w:rFonts w:ascii="Times New Roman" w:hAnsi="Times New Roman"/>
              </w:rPr>
              <w:t xml:space="preserve">Age </w:t>
            </w:r>
            <w:r>
              <w:rPr>
                <w:rFonts w:ascii="Times New Roman" w:hAnsi="Times New Roman"/>
              </w:rPr>
              <w:t>16</w:t>
            </w:r>
            <w:r w:rsidRPr="009549B6">
              <w:rPr>
                <w:rFonts w:ascii="Times New Roman" w:hAnsi="Times New Roman"/>
              </w:rPr>
              <w:t>-64, Not Employed Persons with a Disability</w:t>
            </w:r>
          </w:p>
        </w:tc>
        <w:tc>
          <w:tcPr>
            <w:tcW w:w="1620" w:type="dxa"/>
          </w:tcPr>
          <w:p w14:paraId="6DEC20DE" w14:textId="77777777" w:rsidR="000064BC" w:rsidRPr="009549B6" w:rsidRDefault="000064BC" w:rsidP="000064BC">
            <w:pPr>
              <w:spacing w:line="280" w:lineRule="atLeast"/>
              <w:jc w:val="center"/>
              <w:rPr>
                <w:rFonts w:ascii="Palatino" w:hAnsi="Palatino"/>
              </w:rPr>
            </w:pPr>
            <w:r>
              <w:rPr>
                <w:rFonts w:ascii="Times New Roman" w:hAnsi="Times New Roman"/>
              </w:rPr>
              <w:t>113</w:t>
            </w:r>
          </w:p>
        </w:tc>
        <w:tc>
          <w:tcPr>
            <w:tcW w:w="1530" w:type="dxa"/>
          </w:tcPr>
          <w:p w14:paraId="16B5E54E" w14:textId="77777777" w:rsidR="000064BC" w:rsidRPr="009549B6" w:rsidRDefault="000064BC" w:rsidP="000064BC">
            <w:pPr>
              <w:spacing w:line="280" w:lineRule="atLeast"/>
              <w:jc w:val="center"/>
              <w:rPr>
                <w:rFonts w:ascii="Palatino" w:hAnsi="Palatino"/>
              </w:rPr>
            </w:pPr>
            <w:r>
              <w:rPr>
                <w:rFonts w:ascii="Times New Roman" w:hAnsi="Times New Roman"/>
              </w:rPr>
              <w:t>18.1</w:t>
            </w:r>
            <w:r w:rsidRPr="009549B6">
              <w:rPr>
                <w:rFonts w:ascii="Times New Roman" w:hAnsi="Times New Roman"/>
              </w:rPr>
              <w:t>%</w:t>
            </w:r>
          </w:p>
        </w:tc>
      </w:tr>
      <w:tr w:rsidR="000064BC" w:rsidRPr="009549B6" w14:paraId="170353A3" w14:textId="77777777" w:rsidTr="000064BC">
        <w:tc>
          <w:tcPr>
            <w:tcW w:w="5130" w:type="dxa"/>
          </w:tcPr>
          <w:p w14:paraId="0AE98942" w14:textId="77777777" w:rsidR="000064BC" w:rsidRPr="009549B6" w:rsidRDefault="000064BC" w:rsidP="000064BC">
            <w:pPr>
              <w:spacing w:line="280" w:lineRule="atLeast"/>
              <w:rPr>
                <w:rFonts w:ascii="Palatino" w:hAnsi="Palatino"/>
              </w:rPr>
            </w:pPr>
            <w:r w:rsidRPr="009549B6">
              <w:rPr>
                <w:rFonts w:ascii="Times New Roman" w:hAnsi="Times New Roman"/>
              </w:rPr>
              <w:t>Persons Age 65 Plus with a Disability</w:t>
            </w:r>
          </w:p>
        </w:tc>
        <w:tc>
          <w:tcPr>
            <w:tcW w:w="1620" w:type="dxa"/>
          </w:tcPr>
          <w:p w14:paraId="3C434EF7" w14:textId="77777777" w:rsidR="000064BC" w:rsidRPr="009549B6" w:rsidRDefault="000064BC" w:rsidP="000064BC">
            <w:pPr>
              <w:spacing w:line="280" w:lineRule="atLeast"/>
              <w:jc w:val="center"/>
              <w:rPr>
                <w:rFonts w:ascii="Palatino" w:hAnsi="Palatino"/>
              </w:rPr>
            </w:pPr>
            <w:r>
              <w:rPr>
                <w:rFonts w:ascii="Times New Roman" w:hAnsi="Times New Roman"/>
              </w:rPr>
              <w:t>126</w:t>
            </w:r>
          </w:p>
        </w:tc>
        <w:tc>
          <w:tcPr>
            <w:tcW w:w="1530" w:type="dxa"/>
          </w:tcPr>
          <w:p w14:paraId="7D393716" w14:textId="77777777" w:rsidR="000064BC" w:rsidRPr="009549B6" w:rsidRDefault="000064BC" w:rsidP="000064BC">
            <w:pPr>
              <w:spacing w:line="280" w:lineRule="atLeast"/>
              <w:jc w:val="center"/>
              <w:rPr>
                <w:rFonts w:ascii="Palatino" w:hAnsi="Palatino"/>
              </w:rPr>
            </w:pPr>
            <w:r>
              <w:rPr>
                <w:rFonts w:ascii="Times New Roman" w:hAnsi="Times New Roman"/>
              </w:rPr>
              <w:t>20.2</w:t>
            </w:r>
            <w:r w:rsidRPr="009549B6">
              <w:rPr>
                <w:rFonts w:ascii="Times New Roman" w:hAnsi="Times New Roman"/>
              </w:rPr>
              <w:t>%</w:t>
            </w:r>
          </w:p>
        </w:tc>
      </w:tr>
      <w:tr w:rsidR="000064BC" w:rsidRPr="009549B6" w14:paraId="3A7E840D" w14:textId="77777777" w:rsidTr="000064BC">
        <w:tc>
          <w:tcPr>
            <w:tcW w:w="5130" w:type="dxa"/>
            <w:tcBorders>
              <w:bottom w:val="single" w:sz="12" w:space="0" w:color="auto"/>
            </w:tcBorders>
          </w:tcPr>
          <w:p w14:paraId="75AC4571" w14:textId="77777777" w:rsidR="000064BC" w:rsidRPr="009549B6" w:rsidRDefault="000064BC" w:rsidP="000064BC">
            <w:pPr>
              <w:spacing w:line="280" w:lineRule="atLeast"/>
              <w:rPr>
                <w:rFonts w:ascii="Palatino" w:hAnsi="Palatino"/>
              </w:rPr>
            </w:pPr>
            <w:r w:rsidRPr="009549B6">
              <w:rPr>
                <w:rFonts w:ascii="Times New Roman" w:hAnsi="Times New Roman"/>
              </w:rPr>
              <w:t xml:space="preserve">Total Persons </w:t>
            </w:r>
            <w:r>
              <w:rPr>
                <w:rFonts w:ascii="Times New Roman" w:hAnsi="Times New Roman"/>
              </w:rPr>
              <w:t xml:space="preserve">over 15 </w:t>
            </w:r>
            <w:r w:rsidRPr="009549B6">
              <w:rPr>
                <w:rFonts w:ascii="Times New Roman" w:hAnsi="Times New Roman"/>
              </w:rPr>
              <w:t>with a Disability</w:t>
            </w:r>
          </w:p>
        </w:tc>
        <w:tc>
          <w:tcPr>
            <w:tcW w:w="1620" w:type="dxa"/>
            <w:tcBorders>
              <w:bottom w:val="single" w:sz="12" w:space="0" w:color="auto"/>
            </w:tcBorders>
          </w:tcPr>
          <w:p w14:paraId="6CF0E6DA" w14:textId="77777777" w:rsidR="000064BC" w:rsidRPr="009549B6" w:rsidRDefault="000064BC" w:rsidP="000064BC">
            <w:pPr>
              <w:spacing w:line="280" w:lineRule="atLeast"/>
              <w:jc w:val="center"/>
              <w:rPr>
                <w:rFonts w:ascii="Palatino" w:hAnsi="Palatino"/>
              </w:rPr>
            </w:pPr>
            <w:r>
              <w:rPr>
                <w:rFonts w:ascii="Times New Roman" w:hAnsi="Times New Roman"/>
              </w:rPr>
              <w:t>624</w:t>
            </w:r>
          </w:p>
        </w:tc>
        <w:tc>
          <w:tcPr>
            <w:tcW w:w="1530" w:type="dxa"/>
            <w:tcBorders>
              <w:bottom w:val="single" w:sz="12" w:space="0" w:color="auto"/>
            </w:tcBorders>
          </w:tcPr>
          <w:p w14:paraId="70D51B20" w14:textId="77777777" w:rsidR="000064BC" w:rsidRPr="009549B6" w:rsidRDefault="000064BC" w:rsidP="000064BC">
            <w:pPr>
              <w:spacing w:line="280" w:lineRule="atLeast"/>
              <w:jc w:val="center"/>
              <w:rPr>
                <w:rFonts w:ascii="Palatino" w:hAnsi="Palatino"/>
              </w:rPr>
            </w:pPr>
            <w:r>
              <w:rPr>
                <w:rFonts w:ascii="Times New Roman" w:hAnsi="Times New Roman"/>
              </w:rPr>
              <w:t>100</w:t>
            </w:r>
            <w:r w:rsidRPr="009549B6">
              <w:rPr>
                <w:rFonts w:ascii="Times New Roman" w:hAnsi="Times New Roman"/>
              </w:rPr>
              <w:t>%</w:t>
            </w:r>
          </w:p>
        </w:tc>
      </w:tr>
      <w:tr w:rsidR="000064BC" w:rsidRPr="009549B6" w14:paraId="1AC891E2" w14:textId="77777777" w:rsidTr="000064BC">
        <w:tc>
          <w:tcPr>
            <w:tcW w:w="5130" w:type="dxa"/>
            <w:tcBorders>
              <w:top w:val="single" w:sz="12" w:space="0" w:color="auto"/>
            </w:tcBorders>
          </w:tcPr>
          <w:p w14:paraId="229CB014" w14:textId="77777777" w:rsidR="000064BC" w:rsidRPr="009549B6" w:rsidRDefault="000064BC" w:rsidP="000064BC">
            <w:pPr>
              <w:spacing w:line="280" w:lineRule="atLeast"/>
              <w:rPr>
                <w:rFonts w:ascii="Palatino" w:hAnsi="Palatino"/>
              </w:rPr>
            </w:pPr>
            <w:r>
              <w:rPr>
                <w:rFonts w:ascii="Times New Roman" w:hAnsi="Times New Roman"/>
              </w:rPr>
              <w:t>% of Total Population</w:t>
            </w:r>
          </w:p>
        </w:tc>
        <w:tc>
          <w:tcPr>
            <w:tcW w:w="1620" w:type="dxa"/>
            <w:tcBorders>
              <w:top w:val="single" w:sz="12" w:space="0" w:color="auto"/>
            </w:tcBorders>
          </w:tcPr>
          <w:p w14:paraId="701BC26F" w14:textId="77777777" w:rsidR="000064BC" w:rsidRPr="009549B6" w:rsidRDefault="000064BC" w:rsidP="000064BC">
            <w:pPr>
              <w:spacing w:line="280" w:lineRule="atLeast"/>
              <w:jc w:val="center"/>
              <w:rPr>
                <w:rFonts w:ascii="Palatino" w:hAnsi="Palatino"/>
              </w:rPr>
            </w:pPr>
            <w:r w:rsidRPr="009549B6">
              <w:rPr>
                <w:rFonts w:ascii="Times New Roman" w:hAnsi="Times New Roman"/>
              </w:rPr>
              <w:t>5,197</w:t>
            </w:r>
          </w:p>
        </w:tc>
        <w:tc>
          <w:tcPr>
            <w:tcW w:w="1530" w:type="dxa"/>
            <w:tcBorders>
              <w:top w:val="single" w:sz="12" w:space="0" w:color="auto"/>
            </w:tcBorders>
          </w:tcPr>
          <w:p w14:paraId="73FF0DFD" w14:textId="77777777" w:rsidR="000064BC" w:rsidRPr="009549B6" w:rsidRDefault="000064BC" w:rsidP="000064BC">
            <w:pPr>
              <w:spacing w:line="280" w:lineRule="atLeast"/>
              <w:jc w:val="center"/>
              <w:rPr>
                <w:rFonts w:ascii="Palatino" w:hAnsi="Palatino"/>
              </w:rPr>
            </w:pPr>
            <w:r>
              <w:rPr>
                <w:rFonts w:ascii="Times New Roman" w:hAnsi="Times New Roman"/>
              </w:rPr>
              <w:t>12</w:t>
            </w:r>
            <w:r w:rsidRPr="009549B6">
              <w:rPr>
                <w:rFonts w:ascii="Times New Roman" w:hAnsi="Times New Roman"/>
              </w:rPr>
              <w:t>.0%</w:t>
            </w:r>
          </w:p>
        </w:tc>
      </w:tr>
      <w:tr w:rsidR="000064BC" w:rsidRPr="009549B6" w14:paraId="2E2BC4AA" w14:textId="77777777" w:rsidTr="000064BC">
        <w:tc>
          <w:tcPr>
            <w:tcW w:w="8280" w:type="dxa"/>
            <w:gridSpan w:val="3"/>
          </w:tcPr>
          <w:p w14:paraId="1B913F08" w14:textId="77777777" w:rsidR="000064BC" w:rsidRPr="009549B6" w:rsidRDefault="000064BC" w:rsidP="000064BC">
            <w:pPr>
              <w:spacing w:line="280" w:lineRule="atLeast"/>
              <w:rPr>
                <w:rFonts w:ascii="Palatino" w:hAnsi="Palatino"/>
              </w:rPr>
            </w:pPr>
            <w:r w:rsidRPr="009549B6">
              <w:rPr>
                <w:rFonts w:ascii="Times New Roman" w:hAnsi="Times New Roman"/>
              </w:rPr>
              <w:t>Source: Census Bureau (2000 Census SF 3: P42)</w:t>
            </w:r>
          </w:p>
        </w:tc>
      </w:tr>
    </w:tbl>
    <w:p w14:paraId="60246E6B" w14:textId="77777777" w:rsidR="000064BC" w:rsidRDefault="000064BC" w:rsidP="000064BC"/>
    <w:p w14:paraId="70ACF5B4" w14:textId="77777777" w:rsidR="00226DAA" w:rsidRPr="00226DAA" w:rsidRDefault="00226DAA" w:rsidP="00885ACB">
      <w:pPr>
        <w:spacing w:after="0" w:line="280" w:lineRule="atLeast"/>
        <w:jc w:val="both"/>
        <w:rPr>
          <w:b/>
        </w:rPr>
      </w:pPr>
    </w:p>
    <w:p w14:paraId="365AFDBE" w14:textId="77777777" w:rsidR="000064BC" w:rsidRPr="00B42807" w:rsidRDefault="000064BC" w:rsidP="000064BC">
      <w:r w:rsidRPr="00B42807">
        <w:t>Table 18, Persons with Disabilities by Disability Type, Unincorporated Mono County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890"/>
        <w:gridCol w:w="2340"/>
      </w:tblGrid>
      <w:tr w:rsidR="000064BC" w:rsidRPr="00B42807" w14:paraId="141DB27F" w14:textId="77777777" w:rsidTr="000064BC">
        <w:trPr>
          <w:trHeight w:val="87"/>
        </w:trPr>
        <w:tc>
          <w:tcPr>
            <w:tcW w:w="4050" w:type="dxa"/>
            <w:shd w:val="clear" w:color="auto" w:fill="E6E6E6"/>
          </w:tcPr>
          <w:p w14:paraId="5BC52588" w14:textId="77777777" w:rsidR="000064BC" w:rsidRPr="00B42807" w:rsidRDefault="000064BC" w:rsidP="000064BC">
            <w:pPr>
              <w:spacing w:line="280" w:lineRule="atLeast"/>
              <w:rPr>
                <w:b/>
              </w:rPr>
            </w:pPr>
          </w:p>
        </w:tc>
        <w:tc>
          <w:tcPr>
            <w:tcW w:w="1890" w:type="dxa"/>
            <w:shd w:val="clear" w:color="auto" w:fill="E6E6E6"/>
          </w:tcPr>
          <w:p w14:paraId="353DC57F" w14:textId="77777777" w:rsidR="000064BC" w:rsidRPr="00B42807" w:rsidRDefault="000064BC" w:rsidP="000064BC">
            <w:pPr>
              <w:spacing w:line="280" w:lineRule="atLeast"/>
              <w:jc w:val="center"/>
              <w:rPr>
                <w:b/>
              </w:rPr>
            </w:pPr>
            <w:r w:rsidRPr="00B42807">
              <w:rPr>
                <w:b/>
              </w:rPr>
              <w:t>Number</w:t>
            </w:r>
          </w:p>
        </w:tc>
        <w:tc>
          <w:tcPr>
            <w:tcW w:w="2340" w:type="dxa"/>
            <w:shd w:val="clear" w:color="auto" w:fill="E6E6E6"/>
          </w:tcPr>
          <w:p w14:paraId="1DCE72FA" w14:textId="77777777" w:rsidR="000064BC" w:rsidRPr="00B42807" w:rsidRDefault="000064BC" w:rsidP="000064BC">
            <w:pPr>
              <w:spacing w:line="280" w:lineRule="atLeast"/>
              <w:jc w:val="center"/>
              <w:rPr>
                <w:b/>
              </w:rPr>
            </w:pPr>
            <w:r w:rsidRPr="00B42807">
              <w:rPr>
                <w:b/>
              </w:rPr>
              <w:t>Percent</w:t>
            </w:r>
          </w:p>
        </w:tc>
      </w:tr>
      <w:tr w:rsidR="000064BC" w:rsidRPr="00B42807" w14:paraId="31D7FE73" w14:textId="77777777" w:rsidTr="000064BC">
        <w:tc>
          <w:tcPr>
            <w:tcW w:w="4050" w:type="dxa"/>
            <w:tcBorders>
              <w:bottom w:val="single" w:sz="12" w:space="0" w:color="auto"/>
            </w:tcBorders>
          </w:tcPr>
          <w:p w14:paraId="52556529" w14:textId="77777777" w:rsidR="000064BC" w:rsidRPr="00B42807" w:rsidRDefault="000064BC" w:rsidP="000064BC">
            <w:pPr>
              <w:spacing w:line="280" w:lineRule="atLeast"/>
              <w:rPr>
                <w:i/>
              </w:rPr>
            </w:pPr>
            <w:r w:rsidRPr="00B42807">
              <w:rPr>
                <w:i/>
              </w:rPr>
              <w:t>Total Disabilities Tallied</w:t>
            </w:r>
          </w:p>
        </w:tc>
        <w:tc>
          <w:tcPr>
            <w:tcW w:w="1890" w:type="dxa"/>
            <w:tcBorders>
              <w:bottom w:val="single" w:sz="12" w:space="0" w:color="auto"/>
            </w:tcBorders>
          </w:tcPr>
          <w:p w14:paraId="3116CA7C" w14:textId="77777777" w:rsidR="000064BC" w:rsidRPr="00B42807" w:rsidRDefault="000064BC" w:rsidP="000064BC">
            <w:pPr>
              <w:spacing w:line="280" w:lineRule="atLeast"/>
              <w:jc w:val="center"/>
              <w:rPr>
                <w:i/>
              </w:rPr>
            </w:pPr>
            <w:r w:rsidRPr="00B42807">
              <w:rPr>
                <w:i/>
              </w:rPr>
              <w:t>1349</w:t>
            </w:r>
          </w:p>
        </w:tc>
        <w:tc>
          <w:tcPr>
            <w:tcW w:w="2340" w:type="dxa"/>
            <w:tcBorders>
              <w:bottom w:val="single" w:sz="12" w:space="0" w:color="auto"/>
            </w:tcBorders>
          </w:tcPr>
          <w:p w14:paraId="5262C2CC" w14:textId="77777777" w:rsidR="000064BC" w:rsidRPr="00B42807" w:rsidRDefault="000064BC" w:rsidP="000064BC">
            <w:pPr>
              <w:spacing w:line="280" w:lineRule="atLeast"/>
              <w:jc w:val="center"/>
              <w:rPr>
                <w:i/>
              </w:rPr>
            </w:pPr>
            <w:r w:rsidRPr="00B42807">
              <w:rPr>
                <w:i/>
              </w:rPr>
              <w:t>100.0%</w:t>
            </w:r>
          </w:p>
        </w:tc>
      </w:tr>
      <w:tr w:rsidR="000064BC" w:rsidRPr="00B42807" w14:paraId="266EE8BF" w14:textId="77777777" w:rsidTr="000064BC">
        <w:tc>
          <w:tcPr>
            <w:tcW w:w="4050" w:type="dxa"/>
            <w:tcBorders>
              <w:top w:val="single" w:sz="12" w:space="0" w:color="auto"/>
            </w:tcBorders>
          </w:tcPr>
          <w:p w14:paraId="464962A9" w14:textId="77777777" w:rsidR="000064BC" w:rsidRPr="00B42807" w:rsidRDefault="000064BC" w:rsidP="000064BC">
            <w:pPr>
              <w:spacing w:line="280" w:lineRule="atLeast"/>
              <w:rPr>
                <w:i/>
              </w:rPr>
            </w:pPr>
            <w:r w:rsidRPr="00B42807">
              <w:rPr>
                <w:i/>
              </w:rPr>
              <w:t>Total Disabilities for Ages 5-15</w:t>
            </w:r>
          </w:p>
        </w:tc>
        <w:tc>
          <w:tcPr>
            <w:tcW w:w="1890" w:type="dxa"/>
            <w:tcBorders>
              <w:top w:val="single" w:sz="12" w:space="0" w:color="auto"/>
            </w:tcBorders>
          </w:tcPr>
          <w:p w14:paraId="085AC1EB" w14:textId="77777777" w:rsidR="000064BC" w:rsidRPr="00B42807" w:rsidRDefault="000064BC" w:rsidP="000064BC">
            <w:pPr>
              <w:spacing w:line="280" w:lineRule="atLeast"/>
              <w:jc w:val="center"/>
              <w:rPr>
                <w:i/>
              </w:rPr>
            </w:pPr>
            <w:r w:rsidRPr="00B42807">
              <w:rPr>
                <w:i/>
              </w:rPr>
              <w:t>18</w:t>
            </w:r>
          </w:p>
        </w:tc>
        <w:tc>
          <w:tcPr>
            <w:tcW w:w="2340" w:type="dxa"/>
            <w:tcBorders>
              <w:top w:val="single" w:sz="12" w:space="0" w:color="auto"/>
            </w:tcBorders>
          </w:tcPr>
          <w:p w14:paraId="1CCE03A7" w14:textId="77777777" w:rsidR="000064BC" w:rsidRPr="00B42807" w:rsidRDefault="000064BC" w:rsidP="000064BC">
            <w:pPr>
              <w:spacing w:line="280" w:lineRule="atLeast"/>
              <w:jc w:val="center"/>
              <w:rPr>
                <w:i/>
              </w:rPr>
            </w:pPr>
            <w:r w:rsidRPr="00B42807">
              <w:rPr>
                <w:i/>
              </w:rPr>
              <w:t>1.3%</w:t>
            </w:r>
          </w:p>
        </w:tc>
      </w:tr>
      <w:tr w:rsidR="000064BC" w:rsidRPr="00B42807" w14:paraId="6DFBF223" w14:textId="77777777" w:rsidTr="000064BC">
        <w:tc>
          <w:tcPr>
            <w:tcW w:w="4050" w:type="dxa"/>
          </w:tcPr>
          <w:p w14:paraId="07E3C161" w14:textId="77777777" w:rsidR="000064BC" w:rsidRPr="00B42807" w:rsidRDefault="000064BC" w:rsidP="000064BC">
            <w:pPr>
              <w:spacing w:line="280" w:lineRule="atLeast"/>
            </w:pPr>
            <w:r w:rsidRPr="00B42807">
              <w:t xml:space="preserve">     Sensory disability</w:t>
            </w:r>
          </w:p>
        </w:tc>
        <w:tc>
          <w:tcPr>
            <w:tcW w:w="1890" w:type="dxa"/>
          </w:tcPr>
          <w:p w14:paraId="477E5F7C" w14:textId="77777777" w:rsidR="000064BC" w:rsidRPr="00B42807" w:rsidRDefault="000064BC" w:rsidP="000064BC">
            <w:pPr>
              <w:spacing w:line="280" w:lineRule="atLeast"/>
              <w:jc w:val="center"/>
            </w:pPr>
            <w:r w:rsidRPr="00B42807">
              <w:t>0</w:t>
            </w:r>
          </w:p>
        </w:tc>
        <w:tc>
          <w:tcPr>
            <w:tcW w:w="2340" w:type="dxa"/>
          </w:tcPr>
          <w:p w14:paraId="5621E931" w14:textId="77777777" w:rsidR="000064BC" w:rsidRPr="00B42807" w:rsidRDefault="000064BC" w:rsidP="000064BC">
            <w:pPr>
              <w:spacing w:line="280" w:lineRule="atLeast"/>
              <w:jc w:val="center"/>
            </w:pPr>
            <w:r w:rsidRPr="00B42807">
              <w:t>0%</w:t>
            </w:r>
          </w:p>
        </w:tc>
      </w:tr>
      <w:tr w:rsidR="000064BC" w:rsidRPr="00B42807" w14:paraId="33A890C6" w14:textId="77777777" w:rsidTr="000064BC">
        <w:tc>
          <w:tcPr>
            <w:tcW w:w="4050" w:type="dxa"/>
          </w:tcPr>
          <w:p w14:paraId="758513C9" w14:textId="77777777" w:rsidR="000064BC" w:rsidRPr="00B42807" w:rsidRDefault="000064BC" w:rsidP="000064BC">
            <w:pPr>
              <w:spacing w:line="280" w:lineRule="atLeast"/>
            </w:pPr>
            <w:r w:rsidRPr="00B42807">
              <w:t xml:space="preserve">     Physical disability</w:t>
            </w:r>
          </w:p>
        </w:tc>
        <w:tc>
          <w:tcPr>
            <w:tcW w:w="1890" w:type="dxa"/>
          </w:tcPr>
          <w:p w14:paraId="0D54F597" w14:textId="77777777" w:rsidR="000064BC" w:rsidRPr="00B42807" w:rsidRDefault="000064BC" w:rsidP="000064BC">
            <w:pPr>
              <w:spacing w:line="280" w:lineRule="atLeast"/>
              <w:jc w:val="center"/>
            </w:pPr>
            <w:r w:rsidRPr="00B42807">
              <w:t>0</w:t>
            </w:r>
          </w:p>
        </w:tc>
        <w:tc>
          <w:tcPr>
            <w:tcW w:w="2340" w:type="dxa"/>
          </w:tcPr>
          <w:p w14:paraId="0F5E672B" w14:textId="77777777" w:rsidR="000064BC" w:rsidRPr="00B42807" w:rsidRDefault="000064BC" w:rsidP="000064BC">
            <w:pPr>
              <w:spacing w:line="280" w:lineRule="atLeast"/>
              <w:jc w:val="center"/>
            </w:pPr>
            <w:r w:rsidRPr="00B42807">
              <w:t>0%</w:t>
            </w:r>
          </w:p>
        </w:tc>
      </w:tr>
      <w:tr w:rsidR="000064BC" w:rsidRPr="00B42807" w14:paraId="4233946E" w14:textId="77777777" w:rsidTr="000064BC">
        <w:tc>
          <w:tcPr>
            <w:tcW w:w="4050" w:type="dxa"/>
          </w:tcPr>
          <w:p w14:paraId="64C6BF97" w14:textId="77777777" w:rsidR="000064BC" w:rsidRPr="00B42807" w:rsidRDefault="000064BC" w:rsidP="000064BC">
            <w:pPr>
              <w:spacing w:line="280" w:lineRule="atLeast"/>
            </w:pPr>
            <w:r w:rsidRPr="00B42807">
              <w:t xml:space="preserve">     Mental disability</w:t>
            </w:r>
          </w:p>
        </w:tc>
        <w:tc>
          <w:tcPr>
            <w:tcW w:w="1890" w:type="dxa"/>
          </w:tcPr>
          <w:p w14:paraId="37B0DE85" w14:textId="77777777" w:rsidR="000064BC" w:rsidRPr="00B42807" w:rsidRDefault="000064BC" w:rsidP="000064BC">
            <w:pPr>
              <w:spacing w:line="280" w:lineRule="atLeast"/>
              <w:jc w:val="center"/>
            </w:pPr>
            <w:r w:rsidRPr="00B42807">
              <w:t>18</w:t>
            </w:r>
          </w:p>
        </w:tc>
        <w:tc>
          <w:tcPr>
            <w:tcW w:w="2340" w:type="dxa"/>
          </w:tcPr>
          <w:p w14:paraId="175565EB" w14:textId="77777777" w:rsidR="000064BC" w:rsidRPr="00B42807" w:rsidRDefault="000064BC" w:rsidP="000064BC">
            <w:pPr>
              <w:spacing w:line="280" w:lineRule="atLeast"/>
              <w:jc w:val="center"/>
            </w:pPr>
            <w:r w:rsidRPr="00B42807">
              <w:t>1.3%</w:t>
            </w:r>
          </w:p>
        </w:tc>
      </w:tr>
      <w:tr w:rsidR="000064BC" w:rsidRPr="00B42807" w14:paraId="1F979054" w14:textId="77777777" w:rsidTr="000064BC">
        <w:tc>
          <w:tcPr>
            <w:tcW w:w="4050" w:type="dxa"/>
          </w:tcPr>
          <w:p w14:paraId="4FD2124E" w14:textId="77777777" w:rsidR="000064BC" w:rsidRPr="00B42807" w:rsidRDefault="000064BC" w:rsidP="000064BC">
            <w:pPr>
              <w:spacing w:line="280" w:lineRule="atLeast"/>
            </w:pPr>
            <w:r w:rsidRPr="00B42807">
              <w:t xml:space="preserve">     Self-care disability</w:t>
            </w:r>
          </w:p>
        </w:tc>
        <w:tc>
          <w:tcPr>
            <w:tcW w:w="1890" w:type="dxa"/>
          </w:tcPr>
          <w:p w14:paraId="49152C14" w14:textId="77777777" w:rsidR="000064BC" w:rsidRPr="00B42807" w:rsidRDefault="000064BC" w:rsidP="000064BC">
            <w:pPr>
              <w:spacing w:line="280" w:lineRule="atLeast"/>
              <w:jc w:val="center"/>
            </w:pPr>
            <w:r w:rsidRPr="00B42807">
              <w:t>0</w:t>
            </w:r>
          </w:p>
        </w:tc>
        <w:tc>
          <w:tcPr>
            <w:tcW w:w="2340" w:type="dxa"/>
          </w:tcPr>
          <w:p w14:paraId="4C48CAC4" w14:textId="77777777" w:rsidR="000064BC" w:rsidRPr="00B42807" w:rsidRDefault="000064BC" w:rsidP="000064BC">
            <w:pPr>
              <w:spacing w:line="280" w:lineRule="atLeast"/>
              <w:jc w:val="center"/>
            </w:pPr>
            <w:r w:rsidRPr="00B42807">
              <w:t>0%</w:t>
            </w:r>
          </w:p>
        </w:tc>
      </w:tr>
      <w:tr w:rsidR="000064BC" w:rsidRPr="00B42807" w14:paraId="258301EA" w14:textId="77777777" w:rsidTr="000064BC">
        <w:tc>
          <w:tcPr>
            <w:tcW w:w="4050" w:type="dxa"/>
          </w:tcPr>
          <w:p w14:paraId="1488B92A" w14:textId="77777777" w:rsidR="000064BC" w:rsidRPr="00B42807" w:rsidRDefault="000064BC" w:rsidP="000064BC">
            <w:pPr>
              <w:spacing w:line="280" w:lineRule="atLeast"/>
            </w:pPr>
          </w:p>
        </w:tc>
        <w:tc>
          <w:tcPr>
            <w:tcW w:w="1890" w:type="dxa"/>
          </w:tcPr>
          <w:p w14:paraId="5C344125" w14:textId="77777777" w:rsidR="000064BC" w:rsidRPr="00B42807" w:rsidRDefault="000064BC" w:rsidP="000064BC">
            <w:pPr>
              <w:spacing w:line="280" w:lineRule="atLeast"/>
              <w:jc w:val="center"/>
            </w:pPr>
          </w:p>
        </w:tc>
        <w:tc>
          <w:tcPr>
            <w:tcW w:w="2340" w:type="dxa"/>
          </w:tcPr>
          <w:p w14:paraId="5BB40DD1" w14:textId="77777777" w:rsidR="000064BC" w:rsidRPr="00B42807" w:rsidRDefault="000064BC" w:rsidP="000064BC">
            <w:pPr>
              <w:spacing w:line="280" w:lineRule="atLeast"/>
              <w:jc w:val="center"/>
            </w:pPr>
          </w:p>
        </w:tc>
      </w:tr>
      <w:tr w:rsidR="000064BC" w:rsidRPr="00B42807" w14:paraId="57233154" w14:textId="77777777" w:rsidTr="000064BC">
        <w:tc>
          <w:tcPr>
            <w:tcW w:w="4050" w:type="dxa"/>
            <w:tcBorders>
              <w:bottom w:val="single" w:sz="12" w:space="0" w:color="auto"/>
            </w:tcBorders>
          </w:tcPr>
          <w:p w14:paraId="2DED3292" w14:textId="77777777" w:rsidR="000064BC" w:rsidRPr="00B42807" w:rsidRDefault="000064BC" w:rsidP="000064BC">
            <w:pPr>
              <w:spacing w:line="280" w:lineRule="atLeast"/>
            </w:pPr>
          </w:p>
        </w:tc>
        <w:tc>
          <w:tcPr>
            <w:tcW w:w="1890" w:type="dxa"/>
            <w:tcBorders>
              <w:bottom w:val="single" w:sz="12" w:space="0" w:color="auto"/>
            </w:tcBorders>
          </w:tcPr>
          <w:p w14:paraId="7FB9C63B" w14:textId="77777777" w:rsidR="000064BC" w:rsidRPr="00B42807" w:rsidRDefault="000064BC" w:rsidP="000064BC">
            <w:pPr>
              <w:spacing w:line="280" w:lineRule="atLeast"/>
              <w:jc w:val="center"/>
            </w:pPr>
          </w:p>
        </w:tc>
        <w:tc>
          <w:tcPr>
            <w:tcW w:w="2340" w:type="dxa"/>
            <w:tcBorders>
              <w:bottom w:val="single" w:sz="12" w:space="0" w:color="auto"/>
            </w:tcBorders>
          </w:tcPr>
          <w:p w14:paraId="14F6B24F" w14:textId="77777777" w:rsidR="000064BC" w:rsidRPr="00B42807" w:rsidRDefault="000064BC" w:rsidP="000064BC">
            <w:pPr>
              <w:spacing w:line="280" w:lineRule="atLeast"/>
              <w:jc w:val="center"/>
            </w:pPr>
          </w:p>
        </w:tc>
      </w:tr>
      <w:tr w:rsidR="000064BC" w:rsidRPr="00B42807" w14:paraId="4652EA49" w14:textId="77777777" w:rsidTr="000064BC">
        <w:tc>
          <w:tcPr>
            <w:tcW w:w="4050" w:type="dxa"/>
            <w:tcBorders>
              <w:bottom w:val="single" w:sz="12" w:space="0" w:color="auto"/>
            </w:tcBorders>
          </w:tcPr>
          <w:p w14:paraId="7C2838EE" w14:textId="77777777" w:rsidR="000064BC" w:rsidRPr="00B42807" w:rsidDel="00F824F9" w:rsidRDefault="000064BC" w:rsidP="000064BC">
            <w:pPr>
              <w:spacing w:line="280" w:lineRule="atLeast"/>
            </w:pPr>
            <w:r w:rsidRPr="00B42807">
              <w:t>Total Disabilities for Ages 16-64</w:t>
            </w:r>
          </w:p>
        </w:tc>
        <w:tc>
          <w:tcPr>
            <w:tcW w:w="1890" w:type="dxa"/>
            <w:tcBorders>
              <w:bottom w:val="single" w:sz="12" w:space="0" w:color="auto"/>
            </w:tcBorders>
          </w:tcPr>
          <w:p w14:paraId="2E1D055D" w14:textId="77777777" w:rsidR="000064BC" w:rsidRPr="00B42807" w:rsidDel="00F824F9" w:rsidRDefault="000064BC" w:rsidP="000064BC">
            <w:pPr>
              <w:spacing w:line="280" w:lineRule="atLeast"/>
              <w:jc w:val="center"/>
            </w:pPr>
            <w:r w:rsidRPr="00B42807">
              <w:t>961</w:t>
            </w:r>
          </w:p>
        </w:tc>
        <w:tc>
          <w:tcPr>
            <w:tcW w:w="2340" w:type="dxa"/>
            <w:tcBorders>
              <w:bottom w:val="single" w:sz="12" w:space="0" w:color="auto"/>
            </w:tcBorders>
          </w:tcPr>
          <w:p w14:paraId="2A6380DA" w14:textId="77777777" w:rsidR="000064BC" w:rsidRPr="00B42807" w:rsidDel="00F824F9" w:rsidRDefault="000064BC" w:rsidP="000064BC">
            <w:pPr>
              <w:spacing w:line="280" w:lineRule="atLeast"/>
              <w:jc w:val="center"/>
            </w:pPr>
            <w:r w:rsidRPr="00B42807">
              <w:t>71.2%</w:t>
            </w:r>
          </w:p>
        </w:tc>
      </w:tr>
      <w:tr w:rsidR="000064BC" w:rsidRPr="00B42807" w14:paraId="3075B364" w14:textId="77777777" w:rsidTr="000064BC">
        <w:tc>
          <w:tcPr>
            <w:tcW w:w="4050" w:type="dxa"/>
            <w:tcBorders>
              <w:bottom w:val="single" w:sz="12" w:space="0" w:color="auto"/>
            </w:tcBorders>
          </w:tcPr>
          <w:p w14:paraId="75F2CA1C" w14:textId="77777777" w:rsidR="000064BC" w:rsidRPr="00B42807" w:rsidDel="00F824F9" w:rsidRDefault="000064BC" w:rsidP="000064BC">
            <w:pPr>
              <w:spacing w:line="280" w:lineRule="atLeast"/>
            </w:pPr>
            <w:r w:rsidRPr="00B42807">
              <w:t>Sensory disability</w:t>
            </w:r>
          </w:p>
        </w:tc>
        <w:tc>
          <w:tcPr>
            <w:tcW w:w="1890" w:type="dxa"/>
            <w:tcBorders>
              <w:bottom w:val="single" w:sz="12" w:space="0" w:color="auto"/>
            </w:tcBorders>
          </w:tcPr>
          <w:p w14:paraId="7E407AF8" w14:textId="77777777" w:rsidR="000064BC" w:rsidRPr="00B42807" w:rsidDel="00F824F9" w:rsidRDefault="000064BC" w:rsidP="000064BC">
            <w:pPr>
              <w:spacing w:line="280" w:lineRule="atLeast"/>
              <w:jc w:val="center"/>
            </w:pPr>
            <w:r w:rsidRPr="00B42807">
              <w:t>104</w:t>
            </w:r>
          </w:p>
        </w:tc>
        <w:tc>
          <w:tcPr>
            <w:tcW w:w="2340" w:type="dxa"/>
            <w:tcBorders>
              <w:bottom w:val="single" w:sz="12" w:space="0" w:color="auto"/>
            </w:tcBorders>
          </w:tcPr>
          <w:p w14:paraId="0ABA8464" w14:textId="77777777" w:rsidR="000064BC" w:rsidRPr="00B42807" w:rsidDel="00F824F9" w:rsidRDefault="000064BC" w:rsidP="000064BC">
            <w:pPr>
              <w:spacing w:line="280" w:lineRule="atLeast"/>
              <w:jc w:val="center"/>
            </w:pPr>
            <w:r w:rsidRPr="00B42807">
              <w:t>7.7%</w:t>
            </w:r>
          </w:p>
        </w:tc>
      </w:tr>
      <w:tr w:rsidR="000064BC" w:rsidRPr="00B42807" w14:paraId="18B5E8A2" w14:textId="77777777" w:rsidTr="000064BC">
        <w:tc>
          <w:tcPr>
            <w:tcW w:w="4050" w:type="dxa"/>
            <w:tcBorders>
              <w:bottom w:val="single" w:sz="12" w:space="0" w:color="auto"/>
            </w:tcBorders>
          </w:tcPr>
          <w:p w14:paraId="2E6FCC9C" w14:textId="77777777" w:rsidR="000064BC" w:rsidRPr="00B42807" w:rsidDel="00F824F9" w:rsidRDefault="000064BC" w:rsidP="000064BC">
            <w:pPr>
              <w:spacing w:line="280" w:lineRule="atLeast"/>
            </w:pPr>
            <w:r w:rsidRPr="00B42807">
              <w:t>Physical disability</w:t>
            </w:r>
          </w:p>
        </w:tc>
        <w:tc>
          <w:tcPr>
            <w:tcW w:w="1890" w:type="dxa"/>
            <w:tcBorders>
              <w:bottom w:val="single" w:sz="12" w:space="0" w:color="auto"/>
            </w:tcBorders>
          </w:tcPr>
          <w:p w14:paraId="120948E1" w14:textId="77777777" w:rsidR="000064BC" w:rsidRPr="00B42807" w:rsidDel="00F824F9" w:rsidRDefault="000064BC" w:rsidP="000064BC">
            <w:pPr>
              <w:spacing w:line="280" w:lineRule="atLeast"/>
              <w:jc w:val="center"/>
            </w:pPr>
            <w:r w:rsidRPr="00B42807">
              <w:t>249</w:t>
            </w:r>
          </w:p>
        </w:tc>
        <w:tc>
          <w:tcPr>
            <w:tcW w:w="2340" w:type="dxa"/>
            <w:tcBorders>
              <w:bottom w:val="single" w:sz="12" w:space="0" w:color="auto"/>
            </w:tcBorders>
          </w:tcPr>
          <w:p w14:paraId="093D88CD" w14:textId="77777777" w:rsidR="000064BC" w:rsidRPr="00B42807" w:rsidDel="00F824F9" w:rsidRDefault="000064BC" w:rsidP="000064BC">
            <w:pPr>
              <w:spacing w:line="280" w:lineRule="atLeast"/>
              <w:jc w:val="center"/>
            </w:pPr>
            <w:r w:rsidRPr="00B42807">
              <w:t>18.46%</w:t>
            </w:r>
          </w:p>
        </w:tc>
      </w:tr>
      <w:tr w:rsidR="000064BC" w:rsidRPr="00B42807" w14:paraId="5A554EED" w14:textId="77777777" w:rsidTr="000064BC">
        <w:tc>
          <w:tcPr>
            <w:tcW w:w="4050" w:type="dxa"/>
            <w:tcBorders>
              <w:bottom w:val="single" w:sz="12" w:space="0" w:color="auto"/>
            </w:tcBorders>
          </w:tcPr>
          <w:p w14:paraId="15AA3F42" w14:textId="77777777" w:rsidR="000064BC" w:rsidRPr="00B42807" w:rsidDel="00F824F9" w:rsidRDefault="000064BC" w:rsidP="000064BC">
            <w:pPr>
              <w:spacing w:line="280" w:lineRule="atLeast"/>
            </w:pPr>
            <w:r w:rsidRPr="00B42807">
              <w:t>Mental disability</w:t>
            </w:r>
          </w:p>
        </w:tc>
        <w:tc>
          <w:tcPr>
            <w:tcW w:w="1890" w:type="dxa"/>
            <w:tcBorders>
              <w:bottom w:val="single" w:sz="12" w:space="0" w:color="auto"/>
            </w:tcBorders>
          </w:tcPr>
          <w:p w14:paraId="3F49877D" w14:textId="77777777" w:rsidR="000064BC" w:rsidRPr="00B42807" w:rsidDel="00F824F9" w:rsidRDefault="000064BC" w:rsidP="000064BC">
            <w:pPr>
              <w:spacing w:line="280" w:lineRule="atLeast"/>
              <w:jc w:val="center"/>
            </w:pPr>
            <w:r w:rsidRPr="00B42807">
              <w:t>81</w:t>
            </w:r>
          </w:p>
        </w:tc>
        <w:tc>
          <w:tcPr>
            <w:tcW w:w="2340" w:type="dxa"/>
            <w:tcBorders>
              <w:bottom w:val="single" w:sz="12" w:space="0" w:color="auto"/>
            </w:tcBorders>
          </w:tcPr>
          <w:p w14:paraId="02DFAF50" w14:textId="77777777" w:rsidR="000064BC" w:rsidRPr="00B42807" w:rsidDel="00F824F9" w:rsidRDefault="000064BC" w:rsidP="000064BC">
            <w:pPr>
              <w:spacing w:line="280" w:lineRule="atLeast"/>
              <w:jc w:val="center"/>
            </w:pPr>
            <w:r w:rsidRPr="00B42807">
              <w:t>6.0%</w:t>
            </w:r>
          </w:p>
        </w:tc>
      </w:tr>
      <w:tr w:rsidR="000064BC" w:rsidRPr="00B42807" w14:paraId="024DD4E3" w14:textId="77777777" w:rsidTr="000064BC">
        <w:tc>
          <w:tcPr>
            <w:tcW w:w="4050" w:type="dxa"/>
            <w:tcBorders>
              <w:top w:val="single" w:sz="12" w:space="0" w:color="auto"/>
            </w:tcBorders>
          </w:tcPr>
          <w:p w14:paraId="15C1C327" w14:textId="77777777" w:rsidR="000064BC" w:rsidRPr="00B42807" w:rsidRDefault="000064BC" w:rsidP="000064BC">
            <w:pPr>
              <w:spacing w:line="280" w:lineRule="atLeast"/>
              <w:rPr>
                <w:i/>
              </w:rPr>
            </w:pPr>
            <w:r w:rsidRPr="00B42807">
              <w:rPr>
                <w:i/>
              </w:rPr>
              <w:t>Self-care disability</w:t>
            </w:r>
          </w:p>
        </w:tc>
        <w:tc>
          <w:tcPr>
            <w:tcW w:w="1890" w:type="dxa"/>
            <w:tcBorders>
              <w:top w:val="single" w:sz="12" w:space="0" w:color="auto"/>
            </w:tcBorders>
          </w:tcPr>
          <w:p w14:paraId="45686C9C" w14:textId="77777777" w:rsidR="000064BC" w:rsidRPr="00B42807" w:rsidRDefault="000064BC" w:rsidP="000064BC">
            <w:pPr>
              <w:spacing w:line="280" w:lineRule="atLeast"/>
              <w:jc w:val="center"/>
              <w:rPr>
                <w:i/>
              </w:rPr>
            </w:pPr>
            <w:r w:rsidRPr="00B42807">
              <w:rPr>
                <w:i/>
              </w:rPr>
              <w:t>31</w:t>
            </w:r>
          </w:p>
        </w:tc>
        <w:tc>
          <w:tcPr>
            <w:tcW w:w="2340" w:type="dxa"/>
            <w:tcBorders>
              <w:top w:val="single" w:sz="12" w:space="0" w:color="auto"/>
            </w:tcBorders>
          </w:tcPr>
          <w:p w14:paraId="521B746A" w14:textId="77777777" w:rsidR="000064BC" w:rsidRPr="00B42807" w:rsidRDefault="000064BC" w:rsidP="000064BC">
            <w:pPr>
              <w:spacing w:line="280" w:lineRule="atLeast"/>
              <w:jc w:val="center"/>
              <w:rPr>
                <w:i/>
              </w:rPr>
            </w:pPr>
            <w:r w:rsidRPr="00B42807">
              <w:rPr>
                <w:i/>
              </w:rPr>
              <w:t>2.3%</w:t>
            </w:r>
          </w:p>
        </w:tc>
      </w:tr>
      <w:tr w:rsidR="000064BC" w:rsidRPr="00B42807" w14:paraId="7420E711" w14:textId="77777777" w:rsidTr="000064BC">
        <w:tc>
          <w:tcPr>
            <w:tcW w:w="4050" w:type="dxa"/>
            <w:tcBorders>
              <w:top w:val="single" w:sz="12" w:space="0" w:color="auto"/>
            </w:tcBorders>
          </w:tcPr>
          <w:p w14:paraId="7EECBBCA" w14:textId="77777777" w:rsidR="000064BC" w:rsidRPr="00B42807" w:rsidRDefault="000064BC" w:rsidP="000064BC">
            <w:pPr>
              <w:spacing w:line="280" w:lineRule="atLeast"/>
              <w:rPr>
                <w:i/>
              </w:rPr>
            </w:pPr>
            <w:r w:rsidRPr="00B42807">
              <w:rPr>
                <w:i/>
              </w:rPr>
              <w:t>Go-outside home disability</w:t>
            </w:r>
          </w:p>
        </w:tc>
        <w:tc>
          <w:tcPr>
            <w:tcW w:w="1890" w:type="dxa"/>
            <w:tcBorders>
              <w:top w:val="single" w:sz="12" w:space="0" w:color="auto"/>
            </w:tcBorders>
          </w:tcPr>
          <w:p w14:paraId="5AED1E7B" w14:textId="77777777" w:rsidR="000064BC" w:rsidRPr="00B42807" w:rsidRDefault="000064BC" w:rsidP="000064BC">
            <w:pPr>
              <w:spacing w:line="280" w:lineRule="atLeast"/>
              <w:jc w:val="center"/>
              <w:rPr>
                <w:i/>
              </w:rPr>
            </w:pPr>
            <w:r w:rsidRPr="00B42807">
              <w:rPr>
                <w:i/>
              </w:rPr>
              <w:t>125</w:t>
            </w:r>
          </w:p>
        </w:tc>
        <w:tc>
          <w:tcPr>
            <w:tcW w:w="2340" w:type="dxa"/>
            <w:tcBorders>
              <w:top w:val="single" w:sz="12" w:space="0" w:color="auto"/>
            </w:tcBorders>
          </w:tcPr>
          <w:p w14:paraId="55B74D64" w14:textId="77777777" w:rsidR="000064BC" w:rsidRPr="00B42807" w:rsidRDefault="000064BC" w:rsidP="000064BC">
            <w:pPr>
              <w:spacing w:line="280" w:lineRule="atLeast"/>
              <w:jc w:val="center"/>
              <w:rPr>
                <w:i/>
              </w:rPr>
            </w:pPr>
            <w:r w:rsidRPr="00B42807">
              <w:rPr>
                <w:i/>
              </w:rPr>
              <w:t>9.3%</w:t>
            </w:r>
          </w:p>
        </w:tc>
      </w:tr>
      <w:tr w:rsidR="000064BC" w:rsidRPr="00B42807" w14:paraId="560A8667" w14:textId="77777777" w:rsidTr="000064BC">
        <w:tc>
          <w:tcPr>
            <w:tcW w:w="4050" w:type="dxa"/>
            <w:tcBorders>
              <w:top w:val="single" w:sz="12" w:space="0" w:color="auto"/>
            </w:tcBorders>
          </w:tcPr>
          <w:p w14:paraId="2D4D6D0A" w14:textId="77777777" w:rsidR="000064BC" w:rsidRPr="00B42807" w:rsidRDefault="000064BC" w:rsidP="000064BC">
            <w:pPr>
              <w:spacing w:line="280" w:lineRule="atLeast"/>
              <w:rPr>
                <w:i/>
              </w:rPr>
            </w:pPr>
            <w:r w:rsidRPr="00B42807">
              <w:rPr>
                <w:i/>
              </w:rPr>
              <w:t>Employment Disability</w:t>
            </w:r>
          </w:p>
        </w:tc>
        <w:tc>
          <w:tcPr>
            <w:tcW w:w="1890" w:type="dxa"/>
            <w:tcBorders>
              <w:top w:val="single" w:sz="12" w:space="0" w:color="auto"/>
            </w:tcBorders>
          </w:tcPr>
          <w:p w14:paraId="0E5CE7D6" w14:textId="77777777" w:rsidR="000064BC" w:rsidRPr="00B42807" w:rsidRDefault="000064BC" w:rsidP="000064BC">
            <w:pPr>
              <w:spacing w:line="280" w:lineRule="atLeast"/>
              <w:jc w:val="center"/>
              <w:rPr>
                <w:i/>
              </w:rPr>
            </w:pPr>
            <w:r w:rsidRPr="00B42807">
              <w:rPr>
                <w:i/>
              </w:rPr>
              <w:t>371</w:t>
            </w:r>
          </w:p>
        </w:tc>
        <w:tc>
          <w:tcPr>
            <w:tcW w:w="2340" w:type="dxa"/>
            <w:tcBorders>
              <w:top w:val="single" w:sz="12" w:space="0" w:color="auto"/>
            </w:tcBorders>
          </w:tcPr>
          <w:p w14:paraId="1D36AFFF" w14:textId="77777777" w:rsidR="000064BC" w:rsidRPr="00B42807" w:rsidRDefault="000064BC" w:rsidP="000064BC">
            <w:pPr>
              <w:spacing w:line="280" w:lineRule="atLeast"/>
              <w:jc w:val="center"/>
              <w:rPr>
                <w:i/>
              </w:rPr>
            </w:pPr>
            <w:r w:rsidRPr="00B42807">
              <w:rPr>
                <w:i/>
              </w:rPr>
              <w:t>27.5%</w:t>
            </w:r>
          </w:p>
        </w:tc>
      </w:tr>
      <w:tr w:rsidR="000064BC" w:rsidRPr="00B42807" w14:paraId="37465013" w14:textId="77777777" w:rsidTr="000064BC">
        <w:tc>
          <w:tcPr>
            <w:tcW w:w="4050" w:type="dxa"/>
            <w:tcBorders>
              <w:top w:val="single" w:sz="12" w:space="0" w:color="auto"/>
            </w:tcBorders>
          </w:tcPr>
          <w:p w14:paraId="6CD3032B" w14:textId="77777777" w:rsidR="000064BC" w:rsidRPr="00B42807" w:rsidRDefault="000064BC" w:rsidP="000064BC">
            <w:pPr>
              <w:spacing w:line="280" w:lineRule="atLeast"/>
              <w:rPr>
                <w:i/>
              </w:rPr>
            </w:pPr>
            <w:r w:rsidRPr="00B42807">
              <w:rPr>
                <w:i/>
              </w:rPr>
              <w:t>Total Disabilities for Ages 65 and Over</w:t>
            </w:r>
          </w:p>
        </w:tc>
        <w:tc>
          <w:tcPr>
            <w:tcW w:w="1890" w:type="dxa"/>
            <w:tcBorders>
              <w:top w:val="single" w:sz="12" w:space="0" w:color="auto"/>
            </w:tcBorders>
          </w:tcPr>
          <w:p w14:paraId="762D7C15" w14:textId="77777777" w:rsidR="000064BC" w:rsidRPr="00B42807" w:rsidRDefault="000064BC" w:rsidP="000064BC">
            <w:pPr>
              <w:spacing w:line="280" w:lineRule="atLeast"/>
              <w:jc w:val="center"/>
              <w:rPr>
                <w:i/>
              </w:rPr>
            </w:pPr>
            <w:r w:rsidRPr="00B42807">
              <w:rPr>
                <w:i/>
              </w:rPr>
              <w:t>370</w:t>
            </w:r>
          </w:p>
        </w:tc>
        <w:tc>
          <w:tcPr>
            <w:tcW w:w="2340" w:type="dxa"/>
            <w:tcBorders>
              <w:top w:val="single" w:sz="12" w:space="0" w:color="auto"/>
            </w:tcBorders>
          </w:tcPr>
          <w:p w14:paraId="49FE2E62" w14:textId="77777777" w:rsidR="000064BC" w:rsidRPr="00B42807" w:rsidRDefault="000064BC" w:rsidP="000064BC">
            <w:pPr>
              <w:spacing w:line="280" w:lineRule="atLeast"/>
              <w:jc w:val="center"/>
              <w:rPr>
                <w:i/>
              </w:rPr>
            </w:pPr>
            <w:r w:rsidRPr="00B42807">
              <w:rPr>
                <w:i/>
              </w:rPr>
              <w:t>27.4%</w:t>
            </w:r>
          </w:p>
        </w:tc>
      </w:tr>
      <w:tr w:rsidR="000064BC" w:rsidRPr="00B42807" w14:paraId="024F54DF" w14:textId="77777777" w:rsidTr="000064BC">
        <w:tc>
          <w:tcPr>
            <w:tcW w:w="4050" w:type="dxa"/>
          </w:tcPr>
          <w:p w14:paraId="1F7AC704" w14:textId="77777777" w:rsidR="000064BC" w:rsidRPr="00B42807" w:rsidRDefault="000064BC" w:rsidP="000064BC">
            <w:pPr>
              <w:spacing w:line="280" w:lineRule="atLeast"/>
            </w:pPr>
            <w:r w:rsidRPr="00B42807">
              <w:t xml:space="preserve">     Sensory Disability</w:t>
            </w:r>
          </w:p>
        </w:tc>
        <w:tc>
          <w:tcPr>
            <w:tcW w:w="1890" w:type="dxa"/>
          </w:tcPr>
          <w:p w14:paraId="44319D53" w14:textId="77777777" w:rsidR="000064BC" w:rsidRPr="00B42807" w:rsidRDefault="000064BC" w:rsidP="000064BC">
            <w:pPr>
              <w:spacing w:line="280" w:lineRule="atLeast"/>
              <w:jc w:val="center"/>
            </w:pPr>
            <w:r w:rsidRPr="00B42807">
              <w:t>71</w:t>
            </w:r>
          </w:p>
        </w:tc>
        <w:tc>
          <w:tcPr>
            <w:tcW w:w="2340" w:type="dxa"/>
          </w:tcPr>
          <w:p w14:paraId="3E6D4DD2" w14:textId="77777777" w:rsidR="000064BC" w:rsidRPr="00B42807" w:rsidRDefault="000064BC" w:rsidP="000064BC">
            <w:pPr>
              <w:spacing w:line="280" w:lineRule="atLeast"/>
              <w:jc w:val="center"/>
            </w:pPr>
            <w:r w:rsidRPr="00B42807">
              <w:t>5.3%</w:t>
            </w:r>
          </w:p>
        </w:tc>
      </w:tr>
      <w:tr w:rsidR="000064BC" w:rsidRPr="00B42807" w14:paraId="580AC1E8" w14:textId="77777777" w:rsidTr="000064BC">
        <w:tc>
          <w:tcPr>
            <w:tcW w:w="4050" w:type="dxa"/>
          </w:tcPr>
          <w:p w14:paraId="3877B1D9" w14:textId="77777777" w:rsidR="000064BC" w:rsidRPr="00B42807" w:rsidRDefault="000064BC" w:rsidP="000064BC">
            <w:pPr>
              <w:spacing w:line="280" w:lineRule="atLeast"/>
            </w:pPr>
            <w:r w:rsidRPr="00B42807">
              <w:t xml:space="preserve">     Physical disability</w:t>
            </w:r>
          </w:p>
        </w:tc>
        <w:tc>
          <w:tcPr>
            <w:tcW w:w="1890" w:type="dxa"/>
          </w:tcPr>
          <w:p w14:paraId="62EEAC92" w14:textId="77777777" w:rsidR="000064BC" w:rsidRPr="00B42807" w:rsidRDefault="000064BC" w:rsidP="000064BC">
            <w:pPr>
              <w:spacing w:line="280" w:lineRule="atLeast"/>
              <w:jc w:val="center"/>
            </w:pPr>
            <w:r w:rsidRPr="00B42807">
              <w:t>126</w:t>
            </w:r>
          </w:p>
        </w:tc>
        <w:tc>
          <w:tcPr>
            <w:tcW w:w="2340" w:type="dxa"/>
          </w:tcPr>
          <w:p w14:paraId="795F4C9B" w14:textId="77777777" w:rsidR="000064BC" w:rsidRPr="00B42807" w:rsidRDefault="000064BC" w:rsidP="000064BC">
            <w:pPr>
              <w:spacing w:line="280" w:lineRule="atLeast"/>
              <w:jc w:val="center"/>
            </w:pPr>
            <w:r w:rsidRPr="00B42807">
              <w:t>9.3%</w:t>
            </w:r>
          </w:p>
        </w:tc>
      </w:tr>
      <w:tr w:rsidR="000064BC" w:rsidRPr="00B42807" w14:paraId="1894CA2D" w14:textId="77777777" w:rsidTr="000064BC">
        <w:tc>
          <w:tcPr>
            <w:tcW w:w="4050" w:type="dxa"/>
          </w:tcPr>
          <w:p w14:paraId="2FBDB4D4" w14:textId="77777777" w:rsidR="000064BC" w:rsidRPr="00B42807" w:rsidRDefault="000064BC" w:rsidP="000064BC">
            <w:pPr>
              <w:spacing w:line="280" w:lineRule="atLeast"/>
            </w:pPr>
            <w:r w:rsidRPr="00B42807">
              <w:t xml:space="preserve">     Mental disability</w:t>
            </w:r>
          </w:p>
        </w:tc>
        <w:tc>
          <w:tcPr>
            <w:tcW w:w="1890" w:type="dxa"/>
          </w:tcPr>
          <w:p w14:paraId="1BCEF0CD" w14:textId="77777777" w:rsidR="000064BC" w:rsidRPr="00B42807" w:rsidRDefault="000064BC" w:rsidP="000064BC">
            <w:pPr>
              <w:spacing w:line="280" w:lineRule="atLeast"/>
              <w:jc w:val="center"/>
            </w:pPr>
            <w:r w:rsidRPr="00B42807">
              <w:t>62</w:t>
            </w:r>
          </w:p>
        </w:tc>
        <w:tc>
          <w:tcPr>
            <w:tcW w:w="2340" w:type="dxa"/>
          </w:tcPr>
          <w:p w14:paraId="6CF89C65" w14:textId="77777777" w:rsidR="000064BC" w:rsidRPr="00B42807" w:rsidRDefault="000064BC" w:rsidP="000064BC">
            <w:pPr>
              <w:spacing w:line="280" w:lineRule="atLeast"/>
              <w:jc w:val="center"/>
            </w:pPr>
            <w:r w:rsidRPr="00B42807">
              <w:t>4.6%</w:t>
            </w:r>
          </w:p>
        </w:tc>
      </w:tr>
      <w:tr w:rsidR="000064BC" w:rsidRPr="00B42807" w14:paraId="369A5A69" w14:textId="77777777" w:rsidTr="000064BC">
        <w:tc>
          <w:tcPr>
            <w:tcW w:w="4050" w:type="dxa"/>
          </w:tcPr>
          <w:p w14:paraId="1F1CE103" w14:textId="77777777" w:rsidR="000064BC" w:rsidRPr="00B42807" w:rsidRDefault="000064BC" w:rsidP="000064BC">
            <w:pPr>
              <w:spacing w:line="280" w:lineRule="atLeast"/>
            </w:pPr>
            <w:r w:rsidRPr="00B42807">
              <w:t xml:space="preserve">     Self-care disability</w:t>
            </w:r>
          </w:p>
        </w:tc>
        <w:tc>
          <w:tcPr>
            <w:tcW w:w="1890" w:type="dxa"/>
          </w:tcPr>
          <w:p w14:paraId="31F10090" w14:textId="77777777" w:rsidR="000064BC" w:rsidRPr="00B42807" w:rsidRDefault="000064BC" w:rsidP="000064BC">
            <w:pPr>
              <w:spacing w:line="280" w:lineRule="atLeast"/>
              <w:jc w:val="center"/>
            </w:pPr>
            <w:r w:rsidRPr="00B42807">
              <w:t>18</w:t>
            </w:r>
          </w:p>
        </w:tc>
        <w:tc>
          <w:tcPr>
            <w:tcW w:w="2340" w:type="dxa"/>
          </w:tcPr>
          <w:p w14:paraId="05AF714D" w14:textId="77777777" w:rsidR="000064BC" w:rsidRPr="00B42807" w:rsidRDefault="000064BC" w:rsidP="000064BC">
            <w:pPr>
              <w:spacing w:line="280" w:lineRule="atLeast"/>
              <w:jc w:val="center"/>
            </w:pPr>
            <w:r w:rsidRPr="00B42807">
              <w:t>1.3%</w:t>
            </w:r>
          </w:p>
        </w:tc>
      </w:tr>
      <w:tr w:rsidR="000064BC" w:rsidRPr="00B42807" w14:paraId="1BF28D2F" w14:textId="77777777" w:rsidTr="000064BC">
        <w:tc>
          <w:tcPr>
            <w:tcW w:w="4050" w:type="dxa"/>
          </w:tcPr>
          <w:p w14:paraId="5A8B33E7" w14:textId="77777777" w:rsidR="000064BC" w:rsidRPr="00B42807" w:rsidRDefault="000064BC" w:rsidP="000064BC">
            <w:pPr>
              <w:spacing w:line="280" w:lineRule="atLeast"/>
            </w:pPr>
            <w:r w:rsidRPr="00B42807">
              <w:t xml:space="preserve">     Go-outside-home disability</w:t>
            </w:r>
          </w:p>
        </w:tc>
        <w:tc>
          <w:tcPr>
            <w:tcW w:w="1890" w:type="dxa"/>
          </w:tcPr>
          <w:p w14:paraId="295302E1" w14:textId="77777777" w:rsidR="000064BC" w:rsidRPr="00B42807" w:rsidRDefault="000064BC" w:rsidP="000064BC">
            <w:pPr>
              <w:spacing w:line="280" w:lineRule="atLeast"/>
              <w:jc w:val="center"/>
            </w:pPr>
            <w:r w:rsidRPr="00B42807">
              <w:t>93</w:t>
            </w:r>
          </w:p>
        </w:tc>
        <w:tc>
          <w:tcPr>
            <w:tcW w:w="2340" w:type="dxa"/>
          </w:tcPr>
          <w:p w14:paraId="70A24308" w14:textId="77777777" w:rsidR="000064BC" w:rsidRPr="00B42807" w:rsidRDefault="000064BC" w:rsidP="000064BC">
            <w:pPr>
              <w:spacing w:line="280" w:lineRule="atLeast"/>
              <w:jc w:val="center"/>
            </w:pPr>
            <w:r w:rsidRPr="00B42807">
              <w:t>6.9%</w:t>
            </w:r>
          </w:p>
        </w:tc>
      </w:tr>
      <w:tr w:rsidR="000064BC" w:rsidRPr="00B42807" w14:paraId="17649E61" w14:textId="77777777" w:rsidTr="000064BC">
        <w:tc>
          <w:tcPr>
            <w:tcW w:w="8280" w:type="dxa"/>
            <w:gridSpan w:val="3"/>
          </w:tcPr>
          <w:p w14:paraId="431F008B" w14:textId="77777777" w:rsidR="000064BC" w:rsidRPr="00B42807" w:rsidRDefault="000064BC" w:rsidP="000064BC">
            <w:pPr>
              <w:spacing w:line="280" w:lineRule="atLeast"/>
              <w:jc w:val="both"/>
            </w:pPr>
            <w:r w:rsidRPr="00B42807">
              <w:t>Source: Census Bureau (2010 Census SF 3: P41)</w:t>
            </w:r>
          </w:p>
        </w:tc>
      </w:tr>
    </w:tbl>
    <w:p w14:paraId="0A1CA677" w14:textId="77777777" w:rsidR="000064BC" w:rsidRPr="00B42807" w:rsidRDefault="000064BC" w:rsidP="000064BC"/>
    <w:p w14:paraId="082AD1B1" w14:textId="77777777" w:rsidR="00226DAA" w:rsidRDefault="00226DAA" w:rsidP="00885ACB">
      <w:pPr>
        <w:spacing w:after="0" w:line="280" w:lineRule="atLeast"/>
        <w:jc w:val="both"/>
        <w:rPr>
          <w:b/>
        </w:rPr>
      </w:pPr>
    </w:p>
    <w:p w14:paraId="6DBB1817" w14:textId="77777777" w:rsidR="00226DAA" w:rsidRPr="00226DAA" w:rsidRDefault="002E1FEA" w:rsidP="00EF449A">
      <w:pPr>
        <w:pStyle w:val="Heading3"/>
      </w:pPr>
      <w:bookmarkStart w:id="106" w:name="_Toc383700011"/>
      <w:r>
        <w:t xml:space="preserve">b. </w:t>
      </w:r>
      <w:r w:rsidR="00226DAA" w:rsidRPr="00226DAA">
        <w:t>ELDERLY</w:t>
      </w:r>
      <w:bookmarkEnd w:id="106"/>
      <w:r w:rsidR="00226DAA" w:rsidRPr="00226DAA">
        <w:fldChar w:fldCharType="begin"/>
      </w:r>
      <w:r w:rsidR="00226DAA" w:rsidRPr="00226DAA">
        <w:instrText xml:space="preserve"> TC"</w:instrText>
      </w:r>
      <w:bookmarkStart w:id="107" w:name="_Toc123887105"/>
      <w:r w:rsidR="00226DAA" w:rsidRPr="00226DAA">
        <w:instrText>Elderly</w:instrText>
      </w:r>
      <w:bookmarkEnd w:id="107"/>
      <w:r w:rsidR="00226DAA" w:rsidRPr="00226DAA">
        <w:instrText xml:space="preserve">"\l 3 </w:instrText>
      </w:r>
      <w:r w:rsidR="00226DAA" w:rsidRPr="00226DAA">
        <w:fldChar w:fldCharType="end"/>
      </w:r>
    </w:p>
    <w:p w14:paraId="3D980B50" w14:textId="25F7FFF7" w:rsidR="00226DAA" w:rsidRPr="00226DAA" w:rsidRDefault="00226DAA" w:rsidP="00226DAA">
      <w:pPr>
        <w:spacing w:after="0" w:line="280" w:lineRule="atLeast"/>
        <w:jc w:val="both"/>
      </w:pPr>
      <w:r w:rsidRPr="00226DAA">
        <w:t>The elderly are defined as those 65 years and older. The 2010 Census reported that 845 seniors reside in unincorporated Mono County, 14.2 percent of the total population</w:t>
      </w:r>
      <w:r w:rsidR="00D50649">
        <w:t>. T</w:t>
      </w:r>
      <w:r w:rsidRPr="00226DAA">
        <w:t>he home ownership rate of seniors is very high,  95.7% in 2000</w:t>
      </w:r>
      <w:r w:rsidR="00D50649">
        <w:t>.</w:t>
      </w:r>
      <w:r w:rsidRPr="00226DAA">
        <w:t xml:space="preserve"> In addition, only 18 seniors had incomes </w:t>
      </w:r>
      <w:r w:rsidR="00776763">
        <w:t>under the poverty level in 1999</w:t>
      </w:r>
      <w:r w:rsidRPr="00226DAA">
        <w:t>. Home ownership is a significant hedge against the inflationary rental environment, which is probably why there are few seniors at or below the poverty level.</w:t>
      </w:r>
    </w:p>
    <w:p w14:paraId="0CF6D7B4" w14:textId="77777777" w:rsidR="00226DAA" w:rsidRDefault="00226DAA" w:rsidP="00226DAA">
      <w:pPr>
        <w:spacing w:after="0" w:line="280" w:lineRule="atLeast"/>
        <w:jc w:val="both"/>
      </w:pPr>
    </w:p>
    <w:p w14:paraId="74BDCD7C" w14:textId="77777777" w:rsidR="00226DAA" w:rsidRPr="00226DAA" w:rsidRDefault="00226DAA" w:rsidP="00226DAA">
      <w:pPr>
        <w:spacing w:after="0" w:line="280" w:lineRule="atLeast"/>
        <w:jc w:val="both"/>
      </w:pPr>
      <w:r w:rsidRPr="00226DAA">
        <w:t>Site and unit size availability are generally not a problem for seniors in Mono County, due to the fact that Mono County is a rural area with the propensity for lot subdivisions rather than home subdivisions and the fact that mobile homes are permitted throughout the County on parcels zoned for single-family residences.</w:t>
      </w:r>
    </w:p>
    <w:p w14:paraId="3080F79F" w14:textId="77777777" w:rsidR="00226DAA" w:rsidRDefault="00226DAA" w:rsidP="00226DAA">
      <w:pPr>
        <w:spacing w:after="0" w:line="280" w:lineRule="atLeast"/>
        <w:jc w:val="both"/>
      </w:pPr>
    </w:p>
    <w:p w14:paraId="5EA8660D" w14:textId="77777777" w:rsidR="008E59AE" w:rsidRDefault="00226DAA" w:rsidP="00226DAA">
      <w:pPr>
        <w:spacing w:after="0" w:line="280" w:lineRule="atLeast"/>
        <w:jc w:val="both"/>
      </w:pPr>
      <w:r w:rsidRPr="00226DAA">
        <w:t>Due to the low number of poverty-level senior residents within the County, future needs for low-income senior households can best be addressed through rehabilitation assistance for homeowners and rent assistance for low- and moderate-income senior renters. Currently, there is no rental-assisted housing in the unincorporated areas. IMACA operates 19 units of senior housing in Bishop.  Mammoth Lakes Housing operates rental-assisted housing in Mammoth Lakes, as well as low-income housing to own.</w:t>
      </w:r>
      <w:r w:rsidR="008E59AE">
        <w:t xml:space="preserve"> </w:t>
      </w:r>
    </w:p>
    <w:p w14:paraId="7D5FF203" w14:textId="77777777" w:rsidR="008E59AE" w:rsidRDefault="008E59AE" w:rsidP="00226DAA">
      <w:pPr>
        <w:spacing w:after="0" w:line="280" w:lineRule="atLeast"/>
        <w:jc w:val="both"/>
      </w:pPr>
    </w:p>
    <w:p w14:paraId="64D44F81" w14:textId="77777777" w:rsidR="00226DAA" w:rsidRPr="00226DAA" w:rsidRDefault="00226DAA" w:rsidP="00226DAA">
      <w:pPr>
        <w:spacing w:after="0" w:line="280" w:lineRule="atLeast"/>
        <w:jc w:val="both"/>
      </w:pPr>
      <w:r w:rsidRPr="00226DAA">
        <w:t>Section 202 financing, Direct Loans for Housing for the Senior or Handicapped, administered by the Department of Housing and Urban Development, is also available to qualified sponsors for the financing of construction of rental or cooperative housing facilities for occupancy by senior or handicapped persons.</w:t>
      </w:r>
    </w:p>
    <w:p w14:paraId="3FFAEFCA" w14:textId="77777777" w:rsidR="00226DAA" w:rsidRDefault="00226DAA" w:rsidP="00226DAA">
      <w:pPr>
        <w:spacing w:after="0" w:line="280" w:lineRule="atLeast"/>
      </w:pPr>
    </w:p>
    <w:p w14:paraId="18CDEFC0" w14:textId="77777777" w:rsidR="00226DAA" w:rsidRPr="00226DAA" w:rsidRDefault="002E1FEA" w:rsidP="00EF449A">
      <w:pPr>
        <w:pStyle w:val="Heading3"/>
        <w:rPr>
          <w:u w:val="single"/>
        </w:rPr>
      </w:pPr>
      <w:bookmarkStart w:id="108" w:name="_Toc383700012"/>
      <w:r>
        <w:t xml:space="preserve">c. </w:t>
      </w:r>
      <w:r w:rsidR="00226DAA" w:rsidRPr="00226DAA">
        <w:t>LARGE HOUSEHOLDS &amp; OVERCROWDING</w:t>
      </w:r>
      <w:bookmarkEnd w:id="108"/>
      <w:r w:rsidR="00226DAA" w:rsidRPr="00226DAA">
        <w:fldChar w:fldCharType="begin"/>
      </w:r>
      <w:r w:rsidR="00226DAA" w:rsidRPr="00226DAA">
        <w:instrText xml:space="preserve"> TC"</w:instrText>
      </w:r>
      <w:bookmarkStart w:id="109" w:name="_Toc53806446"/>
      <w:bookmarkStart w:id="110" w:name="_Toc66156038"/>
      <w:bookmarkStart w:id="111" w:name="_Toc76443958"/>
      <w:bookmarkStart w:id="112" w:name="_Toc123887106"/>
      <w:r w:rsidR="00226DAA" w:rsidRPr="00226DAA">
        <w:instrText>Large Households</w:instrText>
      </w:r>
      <w:bookmarkEnd w:id="109"/>
      <w:bookmarkEnd w:id="110"/>
      <w:bookmarkEnd w:id="111"/>
      <w:bookmarkEnd w:id="112"/>
      <w:r w:rsidR="00226DAA" w:rsidRPr="00226DAA">
        <w:instrText xml:space="preserve"> " \l 3 </w:instrText>
      </w:r>
      <w:r w:rsidR="00226DAA" w:rsidRPr="00226DAA">
        <w:fldChar w:fldCharType="end"/>
      </w:r>
    </w:p>
    <w:p w14:paraId="2F736AA6" w14:textId="77777777" w:rsidR="00226DAA" w:rsidRDefault="00226DAA" w:rsidP="00226DAA">
      <w:pPr>
        <w:spacing w:after="0" w:line="280" w:lineRule="atLeast"/>
        <w:jc w:val="both"/>
      </w:pPr>
      <w:r w:rsidRPr="00226DAA">
        <w:t>Large households are defined as households with more than five persons. When the housing market does not meet large household housing needs, overcrowding can result. Overcrowding is not a significant housing situation in the unincorporated area of Mono County The ACS survey estimates 47 households are overcrowded with 20 of those being severly overcrowded or  173 households were reported to be have over 5 occupants.  Large households (five or more persons) are located throughout the County but predominantly in Antelope Valley, Long Valley and Tri-Valley, these areas have large numbers of children and teenagers.</w:t>
      </w:r>
    </w:p>
    <w:p w14:paraId="79CF2A3C" w14:textId="77777777" w:rsidR="00226DAA" w:rsidRDefault="00226DAA" w:rsidP="00226DAA">
      <w:pPr>
        <w:spacing w:after="0" w:line="280" w:lineRule="atLeast"/>
        <w:jc w:val="both"/>
      </w:pPr>
    </w:p>
    <w:tbl>
      <w:tblPr>
        <w:tblW w:w="8490" w:type="dxa"/>
        <w:tblInd w:w="70" w:type="dxa"/>
        <w:tblLook w:val="04A0" w:firstRow="1" w:lastRow="0" w:firstColumn="1" w:lastColumn="0" w:noHBand="0" w:noVBand="1"/>
      </w:tblPr>
      <w:tblGrid>
        <w:gridCol w:w="1970"/>
        <w:gridCol w:w="715"/>
        <w:gridCol w:w="715"/>
        <w:gridCol w:w="663"/>
        <w:gridCol w:w="677"/>
        <w:gridCol w:w="663"/>
        <w:gridCol w:w="587"/>
        <w:gridCol w:w="625"/>
        <w:gridCol w:w="625"/>
        <w:gridCol w:w="625"/>
        <w:gridCol w:w="625"/>
      </w:tblGrid>
      <w:tr w:rsidR="00BC3D09" w:rsidRPr="00902009" w14:paraId="4E321708" w14:textId="77777777" w:rsidTr="00BC3D09">
        <w:trPr>
          <w:trHeight w:val="2430"/>
        </w:trPr>
        <w:tc>
          <w:tcPr>
            <w:tcW w:w="1970" w:type="dxa"/>
            <w:tcBorders>
              <w:top w:val="nil"/>
              <w:left w:val="nil"/>
              <w:bottom w:val="nil"/>
              <w:right w:val="single" w:sz="4" w:space="0" w:color="auto"/>
            </w:tcBorders>
            <w:shd w:val="clear" w:color="auto" w:fill="auto"/>
            <w:noWrap/>
            <w:vAlign w:val="bottom"/>
            <w:hideMark/>
          </w:tcPr>
          <w:p w14:paraId="1B942806" w14:textId="77777777" w:rsidR="00BC3D09" w:rsidRPr="00902009" w:rsidRDefault="00BC3D09" w:rsidP="00BC3D09">
            <w:pPr>
              <w:spacing w:after="0" w:line="240" w:lineRule="auto"/>
              <w:rPr>
                <w:rFonts w:eastAsia="Times New Roman" w:cs="Times New Roman"/>
              </w:rPr>
            </w:pPr>
            <w:r w:rsidRPr="00902009">
              <w:rPr>
                <w:rFonts w:eastAsia="Times New Roman" w:cs="Times New Roman"/>
              </w:rPr>
              <w:t>Table 19, Household Size by CDP 2010</w:t>
            </w:r>
          </w:p>
        </w:tc>
        <w:tc>
          <w:tcPr>
            <w:tcW w:w="71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DD03B2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Average  Household Size</w:t>
            </w:r>
          </w:p>
        </w:tc>
        <w:tc>
          <w:tcPr>
            <w:tcW w:w="71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8794FB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Average Family Size</w:t>
            </w:r>
          </w:p>
        </w:tc>
        <w:tc>
          <w:tcPr>
            <w:tcW w:w="66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0F4A49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Total Households</w:t>
            </w:r>
          </w:p>
        </w:tc>
        <w:tc>
          <w:tcPr>
            <w:tcW w:w="67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45BA8D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1</w:t>
            </w:r>
          </w:p>
        </w:tc>
        <w:tc>
          <w:tcPr>
            <w:tcW w:w="66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B686A5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2</w:t>
            </w:r>
          </w:p>
        </w:tc>
        <w:tc>
          <w:tcPr>
            <w:tcW w:w="58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FC359B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3</w:t>
            </w:r>
          </w:p>
        </w:tc>
        <w:tc>
          <w:tcPr>
            <w:tcW w:w="62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456062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4</w:t>
            </w:r>
          </w:p>
        </w:tc>
        <w:tc>
          <w:tcPr>
            <w:tcW w:w="62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337721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5</w:t>
            </w:r>
          </w:p>
        </w:tc>
        <w:tc>
          <w:tcPr>
            <w:tcW w:w="62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121C23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6</w:t>
            </w:r>
          </w:p>
        </w:tc>
        <w:tc>
          <w:tcPr>
            <w:tcW w:w="62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7247F3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Household Size: 7+</w:t>
            </w:r>
          </w:p>
        </w:tc>
      </w:tr>
      <w:tr w:rsidR="00BC3D09" w:rsidRPr="00902009" w14:paraId="1E4492B4" w14:textId="77777777" w:rsidTr="00BC3D09">
        <w:trPr>
          <w:trHeight w:val="300"/>
        </w:trPr>
        <w:tc>
          <w:tcPr>
            <w:tcW w:w="1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8005"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Countywide</w:t>
            </w:r>
          </w:p>
        </w:tc>
        <w:tc>
          <w:tcPr>
            <w:tcW w:w="715" w:type="dxa"/>
            <w:tcBorders>
              <w:top w:val="single" w:sz="4" w:space="0" w:color="auto"/>
              <w:left w:val="single" w:sz="4" w:space="0" w:color="auto"/>
              <w:bottom w:val="single" w:sz="4" w:space="0" w:color="auto"/>
              <w:right w:val="single" w:sz="4" w:space="0" w:color="auto"/>
            </w:tcBorders>
            <w:shd w:val="clear" w:color="000000" w:fill="B2D78C"/>
            <w:noWrap/>
            <w:vAlign w:val="bottom"/>
            <w:hideMark/>
          </w:tcPr>
          <w:p w14:paraId="11FE322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2.42</w:t>
            </w:r>
          </w:p>
        </w:tc>
        <w:tc>
          <w:tcPr>
            <w:tcW w:w="715" w:type="dxa"/>
            <w:tcBorders>
              <w:top w:val="single" w:sz="4" w:space="0" w:color="auto"/>
              <w:left w:val="single" w:sz="4" w:space="0" w:color="auto"/>
              <w:bottom w:val="single" w:sz="4" w:space="0" w:color="auto"/>
              <w:right w:val="single" w:sz="4" w:space="0" w:color="auto"/>
            </w:tcBorders>
            <w:shd w:val="clear" w:color="000000" w:fill="9ACF87"/>
            <w:noWrap/>
            <w:vAlign w:val="bottom"/>
            <w:hideMark/>
          </w:tcPr>
          <w:p w14:paraId="5FD7099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2.98</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5796BBC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5768</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14:paraId="4CAE41F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1592</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542592E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2182</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40823AA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835</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14:paraId="5F1201F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657</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14:paraId="50E2825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292</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14:paraId="1CAF88D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118</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14:paraId="152096C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92</w:t>
            </w:r>
          </w:p>
        </w:tc>
      </w:tr>
      <w:tr w:rsidR="00BC3D09" w:rsidRPr="00902009" w14:paraId="18A4CDC1"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7BCD164"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14:paraId="31B9C68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14:paraId="3F02747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14:paraId="5C3B25B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77" w:type="dxa"/>
            <w:tcBorders>
              <w:top w:val="nil"/>
              <w:left w:val="nil"/>
              <w:bottom w:val="single" w:sz="4" w:space="0" w:color="auto"/>
              <w:right w:val="nil"/>
            </w:tcBorders>
            <w:shd w:val="clear" w:color="auto" w:fill="auto"/>
            <w:noWrap/>
            <w:vAlign w:val="bottom"/>
            <w:hideMark/>
          </w:tcPr>
          <w:p w14:paraId="6422BC9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14:paraId="23A8CD6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87" w:type="dxa"/>
            <w:tcBorders>
              <w:top w:val="nil"/>
              <w:left w:val="nil"/>
              <w:bottom w:val="single" w:sz="4" w:space="0" w:color="auto"/>
              <w:right w:val="nil"/>
            </w:tcBorders>
            <w:shd w:val="clear" w:color="auto" w:fill="auto"/>
            <w:noWrap/>
            <w:vAlign w:val="bottom"/>
            <w:hideMark/>
          </w:tcPr>
          <w:p w14:paraId="1DDCFA9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4186CE6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6BA8DA7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47D22F5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65701A1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r>
      <w:tr w:rsidR="00BC3D09" w:rsidRPr="00902009" w14:paraId="4B8DC450"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57614D9"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Mammoth Lakes</w:t>
            </w:r>
          </w:p>
        </w:tc>
        <w:tc>
          <w:tcPr>
            <w:tcW w:w="715" w:type="dxa"/>
            <w:tcBorders>
              <w:top w:val="single" w:sz="4" w:space="0" w:color="auto"/>
              <w:left w:val="single" w:sz="4" w:space="0" w:color="auto"/>
              <w:bottom w:val="single" w:sz="4" w:space="0" w:color="auto"/>
              <w:right w:val="single" w:sz="4" w:space="0" w:color="auto"/>
            </w:tcBorders>
            <w:shd w:val="clear" w:color="000000" w:fill="A4D389"/>
            <w:noWrap/>
            <w:vAlign w:val="bottom"/>
            <w:hideMark/>
          </w:tcPr>
          <w:p w14:paraId="1E0A70F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715" w:type="dxa"/>
            <w:tcBorders>
              <w:top w:val="single" w:sz="4" w:space="0" w:color="auto"/>
              <w:left w:val="single" w:sz="4" w:space="0" w:color="auto"/>
              <w:bottom w:val="single" w:sz="4" w:space="0" w:color="auto"/>
              <w:right w:val="single" w:sz="4" w:space="0" w:color="auto"/>
            </w:tcBorders>
            <w:shd w:val="clear" w:color="000000" w:fill="79C580"/>
            <w:noWrap/>
            <w:vAlign w:val="bottom"/>
            <w:hideMark/>
          </w:tcPr>
          <w:p w14:paraId="119DA7E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3.14</w:t>
            </w:r>
          </w:p>
        </w:tc>
        <w:tc>
          <w:tcPr>
            <w:tcW w:w="663" w:type="dxa"/>
            <w:tcBorders>
              <w:top w:val="nil"/>
              <w:left w:val="nil"/>
              <w:bottom w:val="single" w:sz="4" w:space="0" w:color="auto"/>
              <w:right w:val="single" w:sz="4" w:space="0" w:color="auto"/>
            </w:tcBorders>
            <w:shd w:val="clear" w:color="auto" w:fill="auto"/>
            <w:noWrap/>
            <w:vAlign w:val="bottom"/>
            <w:hideMark/>
          </w:tcPr>
          <w:p w14:paraId="683F046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3229</w:t>
            </w:r>
          </w:p>
        </w:tc>
        <w:tc>
          <w:tcPr>
            <w:tcW w:w="677" w:type="dxa"/>
            <w:tcBorders>
              <w:top w:val="nil"/>
              <w:left w:val="nil"/>
              <w:bottom w:val="single" w:sz="4" w:space="0" w:color="auto"/>
              <w:right w:val="single" w:sz="4" w:space="0" w:color="auto"/>
            </w:tcBorders>
            <w:shd w:val="clear" w:color="auto" w:fill="auto"/>
            <w:noWrap/>
            <w:vAlign w:val="bottom"/>
            <w:hideMark/>
          </w:tcPr>
          <w:p w14:paraId="5499128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899</w:t>
            </w:r>
          </w:p>
        </w:tc>
        <w:tc>
          <w:tcPr>
            <w:tcW w:w="663" w:type="dxa"/>
            <w:tcBorders>
              <w:top w:val="nil"/>
              <w:left w:val="nil"/>
              <w:bottom w:val="single" w:sz="4" w:space="0" w:color="auto"/>
              <w:right w:val="single" w:sz="4" w:space="0" w:color="auto"/>
            </w:tcBorders>
            <w:shd w:val="clear" w:color="auto" w:fill="auto"/>
            <w:noWrap/>
            <w:vAlign w:val="bottom"/>
            <w:hideMark/>
          </w:tcPr>
          <w:p w14:paraId="0F688B7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1145</w:t>
            </w:r>
          </w:p>
        </w:tc>
        <w:tc>
          <w:tcPr>
            <w:tcW w:w="587" w:type="dxa"/>
            <w:tcBorders>
              <w:top w:val="nil"/>
              <w:left w:val="nil"/>
              <w:bottom w:val="single" w:sz="4" w:space="0" w:color="auto"/>
              <w:right w:val="single" w:sz="4" w:space="0" w:color="auto"/>
            </w:tcBorders>
            <w:shd w:val="clear" w:color="auto" w:fill="auto"/>
            <w:noWrap/>
            <w:vAlign w:val="bottom"/>
            <w:hideMark/>
          </w:tcPr>
          <w:p w14:paraId="38BB974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464</w:t>
            </w:r>
          </w:p>
        </w:tc>
        <w:tc>
          <w:tcPr>
            <w:tcW w:w="625" w:type="dxa"/>
            <w:tcBorders>
              <w:top w:val="nil"/>
              <w:left w:val="nil"/>
              <w:bottom w:val="single" w:sz="4" w:space="0" w:color="auto"/>
              <w:right w:val="single" w:sz="4" w:space="0" w:color="auto"/>
            </w:tcBorders>
            <w:shd w:val="clear" w:color="auto" w:fill="auto"/>
            <w:noWrap/>
            <w:vAlign w:val="bottom"/>
            <w:hideMark/>
          </w:tcPr>
          <w:p w14:paraId="0FA704A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392</w:t>
            </w:r>
          </w:p>
        </w:tc>
        <w:tc>
          <w:tcPr>
            <w:tcW w:w="625" w:type="dxa"/>
            <w:tcBorders>
              <w:top w:val="nil"/>
              <w:left w:val="nil"/>
              <w:bottom w:val="single" w:sz="4" w:space="0" w:color="auto"/>
              <w:right w:val="single" w:sz="4" w:space="0" w:color="auto"/>
            </w:tcBorders>
            <w:shd w:val="clear" w:color="auto" w:fill="auto"/>
            <w:noWrap/>
            <w:vAlign w:val="bottom"/>
            <w:hideMark/>
          </w:tcPr>
          <w:p w14:paraId="1569C18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180</w:t>
            </w:r>
          </w:p>
        </w:tc>
        <w:tc>
          <w:tcPr>
            <w:tcW w:w="625" w:type="dxa"/>
            <w:tcBorders>
              <w:top w:val="nil"/>
              <w:left w:val="nil"/>
              <w:bottom w:val="single" w:sz="4" w:space="0" w:color="auto"/>
              <w:right w:val="single" w:sz="4" w:space="0" w:color="auto"/>
            </w:tcBorders>
            <w:shd w:val="clear" w:color="auto" w:fill="auto"/>
            <w:noWrap/>
            <w:vAlign w:val="bottom"/>
            <w:hideMark/>
          </w:tcPr>
          <w:p w14:paraId="15310EA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80</w:t>
            </w:r>
          </w:p>
        </w:tc>
        <w:tc>
          <w:tcPr>
            <w:tcW w:w="625" w:type="dxa"/>
            <w:tcBorders>
              <w:top w:val="nil"/>
              <w:left w:val="nil"/>
              <w:bottom w:val="single" w:sz="4" w:space="0" w:color="auto"/>
              <w:right w:val="single" w:sz="4" w:space="0" w:color="auto"/>
            </w:tcBorders>
            <w:shd w:val="clear" w:color="auto" w:fill="auto"/>
            <w:noWrap/>
            <w:vAlign w:val="bottom"/>
            <w:hideMark/>
          </w:tcPr>
          <w:p w14:paraId="160B537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69</w:t>
            </w:r>
          </w:p>
        </w:tc>
      </w:tr>
      <w:tr w:rsidR="00BC3D09" w:rsidRPr="00902009" w14:paraId="26D60B3A"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18B100DD"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14:paraId="597AE2E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14:paraId="5A6039E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14:paraId="3899EEF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77" w:type="dxa"/>
            <w:tcBorders>
              <w:top w:val="nil"/>
              <w:left w:val="nil"/>
              <w:bottom w:val="single" w:sz="4" w:space="0" w:color="auto"/>
              <w:right w:val="nil"/>
            </w:tcBorders>
            <w:shd w:val="clear" w:color="auto" w:fill="auto"/>
            <w:noWrap/>
            <w:vAlign w:val="bottom"/>
            <w:hideMark/>
          </w:tcPr>
          <w:p w14:paraId="04706AD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14:paraId="67BFAB6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87" w:type="dxa"/>
            <w:tcBorders>
              <w:top w:val="nil"/>
              <w:left w:val="nil"/>
              <w:bottom w:val="single" w:sz="4" w:space="0" w:color="auto"/>
              <w:right w:val="nil"/>
            </w:tcBorders>
            <w:shd w:val="clear" w:color="auto" w:fill="auto"/>
            <w:noWrap/>
            <w:vAlign w:val="bottom"/>
            <w:hideMark/>
          </w:tcPr>
          <w:p w14:paraId="3F1F341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2B1ED7A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59443EC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2A29C7C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1FE171C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r>
      <w:tr w:rsidR="00BC3D09" w:rsidRPr="00902009" w14:paraId="68D0C105"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C796B2F"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Countywide -Town</w:t>
            </w:r>
          </w:p>
        </w:tc>
        <w:tc>
          <w:tcPr>
            <w:tcW w:w="715" w:type="dxa"/>
            <w:tcBorders>
              <w:top w:val="nil"/>
              <w:left w:val="nil"/>
              <w:bottom w:val="single" w:sz="4" w:space="0" w:color="auto"/>
              <w:right w:val="single" w:sz="4" w:space="0" w:color="auto"/>
            </w:tcBorders>
            <w:shd w:val="clear" w:color="auto" w:fill="auto"/>
            <w:noWrap/>
            <w:vAlign w:val="bottom"/>
            <w:hideMark/>
          </w:tcPr>
          <w:p w14:paraId="5911F65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14:paraId="212442A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single" w:sz="4" w:space="0" w:color="auto"/>
            </w:tcBorders>
            <w:shd w:val="clear" w:color="auto" w:fill="auto"/>
            <w:noWrap/>
            <w:vAlign w:val="bottom"/>
            <w:hideMark/>
          </w:tcPr>
          <w:p w14:paraId="071D820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2539</w:t>
            </w:r>
          </w:p>
        </w:tc>
        <w:tc>
          <w:tcPr>
            <w:tcW w:w="677" w:type="dxa"/>
            <w:tcBorders>
              <w:top w:val="nil"/>
              <w:left w:val="nil"/>
              <w:bottom w:val="single" w:sz="4" w:space="0" w:color="auto"/>
              <w:right w:val="single" w:sz="4" w:space="0" w:color="auto"/>
            </w:tcBorders>
            <w:shd w:val="clear" w:color="auto" w:fill="auto"/>
            <w:noWrap/>
            <w:vAlign w:val="bottom"/>
            <w:hideMark/>
          </w:tcPr>
          <w:p w14:paraId="1211B7A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693</w:t>
            </w:r>
          </w:p>
        </w:tc>
        <w:tc>
          <w:tcPr>
            <w:tcW w:w="663" w:type="dxa"/>
            <w:tcBorders>
              <w:top w:val="nil"/>
              <w:left w:val="nil"/>
              <w:bottom w:val="single" w:sz="4" w:space="0" w:color="auto"/>
              <w:right w:val="single" w:sz="4" w:space="0" w:color="auto"/>
            </w:tcBorders>
            <w:shd w:val="clear" w:color="auto" w:fill="auto"/>
            <w:noWrap/>
            <w:vAlign w:val="bottom"/>
            <w:hideMark/>
          </w:tcPr>
          <w:p w14:paraId="4CBE961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1037</w:t>
            </w:r>
          </w:p>
        </w:tc>
        <w:tc>
          <w:tcPr>
            <w:tcW w:w="587" w:type="dxa"/>
            <w:tcBorders>
              <w:top w:val="nil"/>
              <w:left w:val="nil"/>
              <w:bottom w:val="single" w:sz="4" w:space="0" w:color="auto"/>
              <w:right w:val="single" w:sz="4" w:space="0" w:color="auto"/>
            </w:tcBorders>
            <w:shd w:val="clear" w:color="auto" w:fill="auto"/>
            <w:noWrap/>
            <w:vAlign w:val="bottom"/>
            <w:hideMark/>
          </w:tcPr>
          <w:p w14:paraId="469010A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371</w:t>
            </w:r>
          </w:p>
        </w:tc>
        <w:tc>
          <w:tcPr>
            <w:tcW w:w="625" w:type="dxa"/>
            <w:tcBorders>
              <w:top w:val="nil"/>
              <w:left w:val="nil"/>
              <w:bottom w:val="single" w:sz="4" w:space="0" w:color="auto"/>
              <w:right w:val="single" w:sz="4" w:space="0" w:color="auto"/>
            </w:tcBorders>
            <w:shd w:val="clear" w:color="auto" w:fill="auto"/>
            <w:noWrap/>
            <w:vAlign w:val="bottom"/>
            <w:hideMark/>
          </w:tcPr>
          <w:p w14:paraId="1FDC720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265</w:t>
            </w:r>
          </w:p>
        </w:tc>
        <w:tc>
          <w:tcPr>
            <w:tcW w:w="625" w:type="dxa"/>
            <w:tcBorders>
              <w:top w:val="nil"/>
              <w:left w:val="nil"/>
              <w:bottom w:val="single" w:sz="4" w:space="0" w:color="auto"/>
              <w:right w:val="single" w:sz="4" w:space="0" w:color="auto"/>
            </w:tcBorders>
            <w:shd w:val="clear" w:color="auto" w:fill="auto"/>
            <w:noWrap/>
            <w:vAlign w:val="bottom"/>
            <w:hideMark/>
          </w:tcPr>
          <w:p w14:paraId="67100ED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112</w:t>
            </w:r>
          </w:p>
        </w:tc>
        <w:tc>
          <w:tcPr>
            <w:tcW w:w="625" w:type="dxa"/>
            <w:tcBorders>
              <w:top w:val="nil"/>
              <w:left w:val="nil"/>
              <w:bottom w:val="single" w:sz="4" w:space="0" w:color="auto"/>
              <w:right w:val="single" w:sz="4" w:space="0" w:color="auto"/>
            </w:tcBorders>
            <w:shd w:val="clear" w:color="auto" w:fill="auto"/>
            <w:noWrap/>
            <w:vAlign w:val="bottom"/>
            <w:hideMark/>
          </w:tcPr>
          <w:p w14:paraId="6E16888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38</w:t>
            </w:r>
          </w:p>
        </w:tc>
        <w:tc>
          <w:tcPr>
            <w:tcW w:w="625" w:type="dxa"/>
            <w:tcBorders>
              <w:top w:val="nil"/>
              <w:left w:val="nil"/>
              <w:bottom w:val="single" w:sz="4" w:space="0" w:color="auto"/>
              <w:right w:val="single" w:sz="4" w:space="0" w:color="auto"/>
            </w:tcBorders>
            <w:shd w:val="clear" w:color="auto" w:fill="auto"/>
            <w:noWrap/>
            <w:vAlign w:val="bottom"/>
            <w:hideMark/>
          </w:tcPr>
          <w:p w14:paraId="718079E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w:t>
            </w:r>
          </w:p>
        </w:tc>
      </w:tr>
      <w:tr w:rsidR="00BC3D09" w:rsidRPr="00902009" w14:paraId="71FB9559"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B89C8A4"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nil"/>
              <w:right w:val="nil"/>
            </w:tcBorders>
            <w:shd w:val="clear" w:color="auto" w:fill="auto"/>
            <w:noWrap/>
            <w:vAlign w:val="bottom"/>
            <w:hideMark/>
          </w:tcPr>
          <w:p w14:paraId="5FE2FDA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nil"/>
              <w:right w:val="nil"/>
            </w:tcBorders>
            <w:shd w:val="clear" w:color="auto" w:fill="auto"/>
            <w:noWrap/>
            <w:vAlign w:val="bottom"/>
            <w:hideMark/>
          </w:tcPr>
          <w:p w14:paraId="222A448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nil"/>
              <w:right w:val="nil"/>
            </w:tcBorders>
            <w:shd w:val="clear" w:color="auto" w:fill="auto"/>
            <w:noWrap/>
            <w:vAlign w:val="bottom"/>
            <w:hideMark/>
          </w:tcPr>
          <w:p w14:paraId="4A943D8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77" w:type="dxa"/>
            <w:tcBorders>
              <w:top w:val="nil"/>
              <w:left w:val="nil"/>
              <w:bottom w:val="nil"/>
              <w:right w:val="nil"/>
            </w:tcBorders>
            <w:shd w:val="clear" w:color="auto" w:fill="auto"/>
            <w:noWrap/>
            <w:vAlign w:val="bottom"/>
            <w:hideMark/>
          </w:tcPr>
          <w:p w14:paraId="3409EE6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nil"/>
              <w:right w:val="nil"/>
            </w:tcBorders>
            <w:shd w:val="clear" w:color="auto" w:fill="auto"/>
            <w:noWrap/>
            <w:vAlign w:val="bottom"/>
            <w:hideMark/>
          </w:tcPr>
          <w:p w14:paraId="7C0C281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87" w:type="dxa"/>
            <w:tcBorders>
              <w:top w:val="nil"/>
              <w:left w:val="nil"/>
              <w:bottom w:val="nil"/>
              <w:right w:val="nil"/>
            </w:tcBorders>
            <w:shd w:val="clear" w:color="auto" w:fill="auto"/>
            <w:noWrap/>
            <w:vAlign w:val="bottom"/>
            <w:hideMark/>
          </w:tcPr>
          <w:p w14:paraId="796A83B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nil"/>
              <w:right w:val="nil"/>
            </w:tcBorders>
            <w:shd w:val="clear" w:color="auto" w:fill="auto"/>
            <w:noWrap/>
            <w:vAlign w:val="bottom"/>
            <w:hideMark/>
          </w:tcPr>
          <w:p w14:paraId="064C1ED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nil"/>
              <w:right w:val="nil"/>
            </w:tcBorders>
            <w:shd w:val="clear" w:color="auto" w:fill="auto"/>
            <w:noWrap/>
            <w:vAlign w:val="bottom"/>
            <w:hideMark/>
          </w:tcPr>
          <w:p w14:paraId="3146B38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nil"/>
              <w:right w:val="nil"/>
            </w:tcBorders>
            <w:shd w:val="clear" w:color="auto" w:fill="auto"/>
            <w:noWrap/>
            <w:vAlign w:val="bottom"/>
            <w:hideMark/>
          </w:tcPr>
          <w:p w14:paraId="0061409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nil"/>
              <w:right w:val="nil"/>
            </w:tcBorders>
            <w:shd w:val="clear" w:color="auto" w:fill="auto"/>
            <w:noWrap/>
            <w:vAlign w:val="bottom"/>
            <w:hideMark/>
          </w:tcPr>
          <w:p w14:paraId="2DF6D95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r>
      <w:tr w:rsidR="00BC3D09" w:rsidRPr="00902009" w14:paraId="65565508"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B9D63E7"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Mono County CDPs</w:t>
            </w:r>
          </w:p>
        </w:tc>
        <w:tc>
          <w:tcPr>
            <w:tcW w:w="715" w:type="dxa"/>
            <w:tcBorders>
              <w:top w:val="nil"/>
              <w:left w:val="nil"/>
              <w:bottom w:val="single" w:sz="4" w:space="0" w:color="auto"/>
              <w:right w:val="nil"/>
            </w:tcBorders>
            <w:shd w:val="clear" w:color="auto" w:fill="auto"/>
            <w:noWrap/>
            <w:vAlign w:val="bottom"/>
            <w:hideMark/>
          </w:tcPr>
          <w:p w14:paraId="400E766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14:paraId="05E10CF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14:paraId="25BAEE0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77" w:type="dxa"/>
            <w:tcBorders>
              <w:top w:val="nil"/>
              <w:left w:val="nil"/>
              <w:bottom w:val="single" w:sz="4" w:space="0" w:color="auto"/>
              <w:right w:val="nil"/>
            </w:tcBorders>
            <w:shd w:val="clear" w:color="auto" w:fill="auto"/>
            <w:noWrap/>
            <w:vAlign w:val="bottom"/>
            <w:hideMark/>
          </w:tcPr>
          <w:p w14:paraId="0F4AEA1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14:paraId="480298B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87" w:type="dxa"/>
            <w:tcBorders>
              <w:top w:val="nil"/>
              <w:left w:val="nil"/>
              <w:bottom w:val="single" w:sz="4" w:space="0" w:color="auto"/>
              <w:right w:val="nil"/>
            </w:tcBorders>
            <w:shd w:val="clear" w:color="auto" w:fill="auto"/>
            <w:noWrap/>
            <w:vAlign w:val="bottom"/>
            <w:hideMark/>
          </w:tcPr>
          <w:p w14:paraId="26A99F1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544808F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6A8C077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1907ABD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565711E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r>
      <w:tr w:rsidR="00BC3D09" w:rsidRPr="00902009" w14:paraId="0B72FCAC"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C0901C0"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Chalfant</w:t>
            </w:r>
          </w:p>
        </w:tc>
        <w:tc>
          <w:tcPr>
            <w:tcW w:w="715" w:type="dxa"/>
            <w:tcBorders>
              <w:top w:val="single" w:sz="4" w:space="0" w:color="auto"/>
              <w:left w:val="single" w:sz="4" w:space="0" w:color="auto"/>
              <w:bottom w:val="single" w:sz="4" w:space="0" w:color="auto"/>
              <w:right w:val="single" w:sz="4" w:space="0" w:color="auto"/>
            </w:tcBorders>
            <w:shd w:val="clear" w:color="000000" w:fill="A9D48A"/>
            <w:noWrap/>
            <w:vAlign w:val="bottom"/>
            <w:hideMark/>
          </w:tcPr>
          <w:p w14:paraId="4095078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2.47</w:t>
            </w:r>
          </w:p>
        </w:tc>
        <w:tc>
          <w:tcPr>
            <w:tcW w:w="715" w:type="dxa"/>
            <w:tcBorders>
              <w:top w:val="single" w:sz="4" w:space="0" w:color="auto"/>
              <w:left w:val="single" w:sz="4" w:space="0" w:color="auto"/>
              <w:bottom w:val="single" w:sz="4" w:space="0" w:color="auto"/>
              <w:right w:val="single" w:sz="4" w:space="0" w:color="auto"/>
            </w:tcBorders>
            <w:shd w:val="clear" w:color="000000" w:fill="AFD68C"/>
            <w:noWrap/>
            <w:vAlign w:val="bottom"/>
            <w:hideMark/>
          </w:tcPr>
          <w:p w14:paraId="304EABA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2.87</w:t>
            </w:r>
          </w:p>
        </w:tc>
        <w:tc>
          <w:tcPr>
            <w:tcW w:w="663" w:type="dxa"/>
            <w:tcBorders>
              <w:top w:val="nil"/>
              <w:left w:val="nil"/>
              <w:bottom w:val="single" w:sz="4" w:space="0" w:color="auto"/>
              <w:right w:val="single" w:sz="4" w:space="0" w:color="auto"/>
            </w:tcBorders>
            <w:shd w:val="clear" w:color="auto" w:fill="auto"/>
            <w:noWrap/>
            <w:vAlign w:val="bottom"/>
            <w:hideMark/>
          </w:tcPr>
          <w:p w14:paraId="551BBE7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264</w:t>
            </w:r>
          </w:p>
        </w:tc>
        <w:tc>
          <w:tcPr>
            <w:tcW w:w="677" w:type="dxa"/>
            <w:tcBorders>
              <w:top w:val="nil"/>
              <w:left w:val="nil"/>
              <w:bottom w:val="single" w:sz="4" w:space="0" w:color="auto"/>
              <w:right w:val="single" w:sz="4" w:space="0" w:color="auto"/>
            </w:tcBorders>
            <w:shd w:val="clear" w:color="auto" w:fill="auto"/>
            <w:noWrap/>
            <w:vAlign w:val="bottom"/>
            <w:hideMark/>
          </w:tcPr>
          <w:p w14:paraId="2466E02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53</w:t>
            </w:r>
          </w:p>
        </w:tc>
        <w:tc>
          <w:tcPr>
            <w:tcW w:w="663" w:type="dxa"/>
            <w:tcBorders>
              <w:top w:val="nil"/>
              <w:left w:val="nil"/>
              <w:bottom w:val="single" w:sz="4" w:space="0" w:color="auto"/>
              <w:right w:val="single" w:sz="4" w:space="0" w:color="auto"/>
            </w:tcBorders>
            <w:shd w:val="clear" w:color="auto" w:fill="auto"/>
            <w:noWrap/>
            <w:vAlign w:val="bottom"/>
            <w:hideMark/>
          </w:tcPr>
          <w:p w14:paraId="19B21AD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118</w:t>
            </w:r>
          </w:p>
        </w:tc>
        <w:tc>
          <w:tcPr>
            <w:tcW w:w="587" w:type="dxa"/>
            <w:tcBorders>
              <w:top w:val="nil"/>
              <w:left w:val="nil"/>
              <w:bottom w:val="single" w:sz="4" w:space="0" w:color="auto"/>
              <w:right w:val="single" w:sz="4" w:space="0" w:color="auto"/>
            </w:tcBorders>
            <w:shd w:val="clear" w:color="auto" w:fill="auto"/>
            <w:noWrap/>
            <w:vAlign w:val="bottom"/>
            <w:hideMark/>
          </w:tcPr>
          <w:p w14:paraId="60BCD92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43</w:t>
            </w:r>
          </w:p>
        </w:tc>
        <w:tc>
          <w:tcPr>
            <w:tcW w:w="625" w:type="dxa"/>
            <w:tcBorders>
              <w:top w:val="nil"/>
              <w:left w:val="nil"/>
              <w:bottom w:val="single" w:sz="4" w:space="0" w:color="auto"/>
              <w:right w:val="single" w:sz="4" w:space="0" w:color="auto"/>
            </w:tcBorders>
            <w:shd w:val="clear" w:color="auto" w:fill="auto"/>
            <w:noWrap/>
            <w:vAlign w:val="bottom"/>
            <w:hideMark/>
          </w:tcPr>
          <w:p w14:paraId="47E2F98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w:t>
            </w:r>
          </w:p>
        </w:tc>
        <w:tc>
          <w:tcPr>
            <w:tcW w:w="625" w:type="dxa"/>
            <w:tcBorders>
              <w:top w:val="nil"/>
              <w:left w:val="nil"/>
              <w:bottom w:val="single" w:sz="4" w:space="0" w:color="auto"/>
              <w:right w:val="single" w:sz="4" w:space="0" w:color="auto"/>
            </w:tcBorders>
            <w:shd w:val="clear" w:color="auto" w:fill="auto"/>
            <w:noWrap/>
            <w:vAlign w:val="bottom"/>
            <w:hideMark/>
          </w:tcPr>
          <w:p w14:paraId="698C1D9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w:t>
            </w:r>
          </w:p>
        </w:tc>
        <w:tc>
          <w:tcPr>
            <w:tcW w:w="625" w:type="dxa"/>
            <w:tcBorders>
              <w:top w:val="nil"/>
              <w:left w:val="nil"/>
              <w:bottom w:val="single" w:sz="4" w:space="0" w:color="auto"/>
              <w:right w:val="single" w:sz="4" w:space="0" w:color="auto"/>
            </w:tcBorders>
            <w:shd w:val="clear" w:color="auto" w:fill="auto"/>
            <w:noWrap/>
            <w:vAlign w:val="bottom"/>
            <w:hideMark/>
          </w:tcPr>
          <w:p w14:paraId="3F5715D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5" w:type="dxa"/>
            <w:tcBorders>
              <w:top w:val="nil"/>
              <w:left w:val="nil"/>
              <w:bottom w:val="single" w:sz="4" w:space="0" w:color="auto"/>
              <w:right w:val="single" w:sz="4" w:space="0" w:color="auto"/>
            </w:tcBorders>
            <w:shd w:val="clear" w:color="auto" w:fill="auto"/>
            <w:noWrap/>
            <w:vAlign w:val="bottom"/>
            <w:hideMark/>
          </w:tcPr>
          <w:p w14:paraId="0AEEEFD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w:t>
            </w:r>
          </w:p>
        </w:tc>
      </w:tr>
      <w:tr w:rsidR="00BC3D09" w:rsidRPr="00902009" w14:paraId="41B7FB45"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553FA7F"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Benton</w:t>
            </w:r>
          </w:p>
        </w:tc>
        <w:tc>
          <w:tcPr>
            <w:tcW w:w="715" w:type="dxa"/>
            <w:tcBorders>
              <w:top w:val="single" w:sz="4" w:space="0" w:color="auto"/>
              <w:left w:val="single" w:sz="4" w:space="0" w:color="auto"/>
              <w:bottom w:val="single" w:sz="4" w:space="0" w:color="auto"/>
              <w:right w:val="single" w:sz="4" w:space="0" w:color="auto"/>
            </w:tcBorders>
            <w:shd w:val="clear" w:color="000000" w:fill="C5DD90"/>
            <w:noWrap/>
            <w:vAlign w:val="bottom"/>
            <w:hideMark/>
          </w:tcPr>
          <w:p w14:paraId="11BDB3D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w:t>
            </w:r>
          </w:p>
        </w:tc>
        <w:tc>
          <w:tcPr>
            <w:tcW w:w="715" w:type="dxa"/>
            <w:tcBorders>
              <w:top w:val="single" w:sz="4" w:space="0" w:color="auto"/>
              <w:left w:val="single" w:sz="4" w:space="0" w:color="auto"/>
              <w:bottom w:val="single" w:sz="4" w:space="0" w:color="auto"/>
              <w:right w:val="single" w:sz="4" w:space="0" w:color="auto"/>
            </w:tcBorders>
            <w:shd w:val="clear" w:color="000000" w:fill="BCDA8E"/>
            <w:noWrap/>
            <w:vAlign w:val="bottom"/>
            <w:hideMark/>
          </w:tcPr>
          <w:p w14:paraId="35A88FC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2.81</w:t>
            </w:r>
          </w:p>
        </w:tc>
        <w:tc>
          <w:tcPr>
            <w:tcW w:w="663" w:type="dxa"/>
            <w:tcBorders>
              <w:top w:val="nil"/>
              <w:left w:val="nil"/>
              <w:bottom w:val="single" w:sz="4" w:space="0" w:color="auto"/>
              <w:right w:val="single" w:sz="4" w:space="0" w:color="auto"/>
            </w:tcBorders>
            <w:shd w:val="clear" w:color="auto" w:fill="auto"/>
            <w:noWrap/>
            <w:vAlign w:val="bottom"/>
            <w:hideMark/>
          </w:tcPr>
          <w:p w14:paraId="1E9F9A6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122</w:t>
            </w:r>
          </w:p>
        </w:tc>
        <w:tc>
          <w:tcPr>
            <w:tcW w:w="677" w:type="dxa"/>
            <w:tcBorders>
              <w:top w:val="nil"/>
              <w:left w:val="nil"/>
              <w:bottom w:val="single" w:sz="4" w:space="0" w:color="auto"/>
              <w:right w:val="single" w:sz="4" w:space="0" w:color="auto"/>
            </w:tcBorders>
            <w:shd w:val="clear" w:color="auto" w:fill="auto"/>
            <w:noWrap/>
            <w:vAlign w:val="bottom"/>
            <w:hideMark/>
          </w:tcPr>
          <w:p w14:paraId="6BF26F1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40</w:t>
            </w:r>
          </w:p>
        </w:tc>
        <w:tc>
          <w:tcPr>
            <w:tcW w:w="663" w:type="dxa"/>
            <w:tcBorders>
              <w:top w:val="nil"/>
              <w:left w:val="nil"/>
              <w:bottom w:val="single" w:sz="4" w:space="0" w:color="auto"/>
              <w:right w:val="single" w:sz="4" w:space="0" w:color="auto"/>
            </w:tcBorders>
            <w:shd w:val="clear" w:color="auto" w:fill="auto"/>
            <w:noWrap/>
            <w:vAlign w:val="bottom"/>
            <w:hideMark/>
          </w:tcPr>
          <w:p w14:paraId="4E9C251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42</w:t>
            </w:r>
          </w:p>
        </w:tc>
        <w:tc>
          <w:tcPr>
            <w:tcW w:w="587" w:type="dxa"/>
            <w:tcBorders>
              <w:top w:val="nil"/>
              <w:left w:val="nil"/>
              <w:bottom w:val="single" w:sz="4" w:space="0" w:color="auto"/>
              <w:right w:val="single" w:sz="4" w:space="0" w:color="auto"/>
            </w:tcBorders>
            <w:shd w:val="clear" w:color="auto" w:fill="auto"/>
            <w:noWrap/>
            <w:vAlign w:val="bottom"/>
            <w:hideMark/>
          </w:tcPr>
          <w:p w14:paraId="5746A5B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25" w:type="dxa"/>
            <w:tcBorders>
              <w:top w:val="nil"/>
              <w:left w:val="nil"/>
              <w:bottom w:val="single" w:sz="4" w:space="0" w:color="auto"/>
              <w:right w:val="single" w:sz="4" w:space="0" w:color="auto"/>
            </w:tcBorders>
            <w:shd w:val="clear" w:color="auto" w:fill="auto"/>
            <w:noWrap/>
            <w:vAlign w:val="bottom"/>
            <w:hideMark/>
          </w:tcPr>
          <w:p w14:paraId="4C501B3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w:t>
            </w:r>
          </w:p>
        </w:tc>
        <w:tc>
          <w:tcPr>
            <w:tcW w:w="625" w:type="dxa"/>
            <w:tcBorders>
              <w:top w:val="nil"/>
              <w:left w:val="nil"/>
              <w:bottom w:val="single" w:sz="4" w:space="0" w:color="auto"/>
              <w:right w:val="single" w:sz="4" w:space="0" w:color="auto"/>
            </w:tcBorders>
            <w:shd w:val="clear" w:color="auto" w:fill="auto"/>
            <w:noWrap/>
            <w:vAlign w:val="bottom"/>
            <w:hideMark/>
          </w:tcPr>
          <w:p w14:paraId="383126F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25" w:type="dxa"/>
            <w:tcBorders>
              <w:top w:val="nil"/>
              <w:left w:val="nil"/>
              <w:bottom w:val="single" w:sz="4" w:space="0" w:color="auto"/>
              <w:right w:val="single" w:sz="4" w:space="0" w:color="auto"/>
            </w:tcBorders>
            <w:shd w:val="clear" w:color="auto" w:fill="auto"/>
            <w:noWrap/>
            <w:vAlign w:val="bottom"/>
            <w:hideMark/>
          </w:tcPr>
          <w:p w14:paraId="50B0694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14:paraId="1AC2E42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r>
      <w:tr w:rsidR="00BC3D09" w:rsidRPr="00902009" w14:paraId="0DFF4CC5"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A2F6201"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Paradise</w:t>
            </w:r>
          </w:p>
        </w:tc>
        <w:tc>
          <w:tcPr>
            <w:tcW w:w="715"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14:paraId="16CF955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2.07</w:t>
            </w:r>
          </w:p>
        </w:tc>
        <w:tc>
          <w:tcPr>
            <w:tcW w:w="71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4A0B6F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2.47</w:t>
            </w:r>
          </w:p>
        </w:tc>
        <w:tc>
          <w:tcPr>
            <w:tcW w:w="663" w:type="dxa"/>
            <w:tcBorders>
              <w:top w:val="nil"/>
              <w:left w:val="nil"/>
              <w:bottom w:val="single" w:sz="4" w:space="0" w:color="auto"/>
              <w:right w:val="single" w:sz="4" w:space="0" w:color="auto"/>
            </w:tcBorders>
            <w:shd w:val="clear" w:color="auto" w:fill="auto"/>
            <w:noWrap/>
            <w:vAlign w:val="bottom"/>
            <w:hideMark/>
          </w:tcPr>
          <w:p w14:paraId="149820D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74</w:t>
            </w:r>
          </w:p>
        </w:tc>
        <w:tc>
          <w:tcPr>
            <w:tcW w:w="677" w:type="dxa"/>
            <w:tcBorders>
              <w:top w:val="nil"/>
              <w:left w:val="nil"/>
              <w:bottom w:val="single" w:sz="4" w:space="0" w:color="auto"/>
              <w:right w:val="single" w:sz="4" w:space="0" w:color="auto"/>
            </w:tcBorders>
            <w:shd w:val="clear" w:color="auto" w:fill="auto"/>
            <w:noWrap/>
            <w:vAlign w:val="bottom"/>
            <w:hideMark/>
          </w:tcPr>
          <w:p w14:paraId="2B2F817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663" w:type="dxa"/>
            <w:tcBorders>
              <w:top w:val="nil"/>
              <w:left w:val="nil"/>
              <w:bottom w:val="single" w:sz="4" w:space="0" w:color="auto"/>
              <w:right w:val="single" w:sz="4" w:space="0" w:color="auto"/>
            </w:tcBorders>
            <w:shd w:val="clear" w:color="auto" w:fill="auto"/>
            <w:noWrap/>
            <w:vAlign w:val="bottom"/>
            <w:hideMark/>
          </w:tcPr>
          <w:p w14:paraId="5885702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38</w:t>
            </w:r>
          </w:p>
        </w:tc>
        <w:tc>
          <w:tcPr>
            <w:tcW w:w="587" w:type="dxa"/>
            <w:tcBorders>
              <w:top w:val="nil"/>
              <w:left w:val="nil"/>
              <w:bottom w:val="single" w:sz="4" w:space="0" w:color="auto"/>
              <w:right w:val="single" w:sz="4" w:space="0" w:color="auto"/>
            </w:tcBorders>
            <w:shd w:val="clear" w:color="auto" w:fill="auto"/>
            <w:noWrap/>
            <w:vAlign w:val="bottom"/>
            <w:hideMark/>
          </w:tcPr>
          <w:p w14:paraId="122CEA3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25" w:type="dxa"/>
            <w:tcBorders>
              <w:top w:val="nil"/>
              <w:left w:val="nil"/>
              <w:bottom w:val="single" w:sz="4" w:space="0" w:color="auto"/>
              <w:right w:val="single" w:sz="4" w:space="0" w:color="auto"/>
            </w:tcBorders>
            <w:shd w:val="clear" w:color="auto" w:fill="auto"/>
            <w:noWrap/>
            <w:vAlign w:val="bottom"/>
            <w:hideMark/>
          </w:tcPr>
          <w:p w14:paraId="60228D4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25" w:type="dxa"/>
            <w:tcBorders>
              <w:top w:val="nil"/>
              <w:left w:val="nil"/>
              <w:bottom w:val="single" w:sz="4" w:space="0" w:color="auto"/>
              <w:right w:val="single" w:sz="4" w:space="0" w:color="auto"/>
            </w:tcBorders>
            <w:shd w:val="clear" w:color="auto" w:fill="auto"/>
            <w:noWrap/>
            <w:vAlign w:val="bottom"/>
            <w:hideMark/>
          </w:tcPr>
          <w:p w14:paraId="2892F7A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5" w:type="dxa"/>
            <w:tcBorders>
              <w:top w:val="nil"/>
              <w:left w:val="nil"/>
              <w:bottom w:val="single" w:sz="4" w:space="0" w:color="auto"/>
              <w:right w:val="single" w:sz="4" w:space="0" w:color="auto"/>
            </w:tcBorders>
            <w:shd w:val="clear" w:color="auto" w:fill="auto"/>
            <w:noWrap/>
            <w:vAlign w:val="bottom"/>
            <w:hideMark/>
          </w:tcPr>
          <w:p w14:paraId="2934464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14:paraId="5578952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14:paraId="1B94AF70"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1630D33F"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Swall Meadows</w:t>
            </w:r>
          </w:p>
        </w:tc>
        <w:tc>
          <w:tcPr>
            <w:tcW w:w="715"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6A24DBC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2.24</w:t>
            </w:r>
          </w:p>
        </w:tc>
        <w:tc>
          <w:tcPr>
            <w:tcW w:w="715" w:type="dxa"/>
            <w:tcBorders>
              <w:top w:val="single" w:sz="4" w:space="0" w:color="auto"/>
              <w:left w:val="single" w:sz="4" w:space="0" w:color="auto"/>
              <w:bottom w:val="single" w:sz="4" w:space="0" w:color="auto"/>
              <w:right w:val="single" w:sz="4" w:space="0" w:color="auto"/>
            </w:tcBorders>
            <w:shd w:val="clear" w:color="000000" w:fill="E6E797"/>
            <w:noWrap/>
            <w:vAlign w:val="bottom"/>
            <w:hideMark/>
          </w:tcPr>
          <w:p w14:paraId="2310042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663" w:type="dxa"/>
            <w:tcBorders>
              <w:top w:val="nil"/>
              <w:left w:val="nil"/>
              <w:bottom w:val="single" w:sz="4" w:space="0" w:color="auto"/>
              <w:right w:val="single" w:sz="4" w:space="0" w:color="auto"/>
            </w:tcBorders>
            <w:shd w:val="clear" w:color="auto" w:fill="auto"/>
            <w:noWrap/>
            <w:vAlign w:val="bottom"/>
            <w:hideMark/>
          </w:tcPr>
          <w:p w14:paraId="387B77F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98</w:t>
            </w:r>
          </w:p>
        </w:tc>
        <w:tc>
          <w:tcPr>
            <w:tcW w:w="677" w:type="dxa"/>
            <w:tcBorders>
              <w:top w:val="nil"/>
              <w:left w:val="nil"/>
              <w:bottom w:val="single" w:sz="4" w:space="0" w:color="auto"/>
              <w:right w:val="single" w:sz="4" w:space="0" w:color="auto"/>
            </w:tcBorders>
            <w:shd w:val="clear" w:color="auto" w:fill="auto"/>
            <w:noWrap/>
            <w:vAlign w:val="bottom"/>
            <w:hideMark/>
          </w:tcPr>
          <w:p w14:paraId="73B578D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63" w:type="dxa"/>
            <w:tcBorders>
              <w:top w:val="nil"/>
              <w:left w:val="nil"/>
              <w:bottom w:val="single" w:sz="4" w:space="0" w:color="auto"/>
              <w:right w:val="single" w:sz="4" w:space="0" w:color="auto"/>
            </w:tcBorders>
            <w:shd w:val="clear" w:color="auto" w:fill="auto"/>
            <w:noWrap/>
            <w:vAlign w:val="bottom"/>
            <w:hideMark/>
          </w:tcPr>
          <w:p w14:paraId="13E8FE7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47</w:t>
            </w:r>
          </w:p>
        </w:tc>
        <w:tc>
          <w:tcPr>
            <w:tcW w:w="587" w:type="dxa"/>
            <w:tcBorders>
              <w:top w:val="nil"/>
              <w:left w:val="nil"/>
              <w:bottom w:val="single" w:sz="4" w:space="0" w:color="auto"/>
              <w:right w:val="single" w:sz="4" w:space="0" w:color="auto"/>
            </w:tcBorders>
            <w:shd w:val="clear" w:color="auto" w:fill="auto"/>
            <w:noWrap/>
            <w:vAlign w:val="bottom"/>
            <w:hideMark/>
          </w:tcPr>
          <w:p w14:paraId="6C75C2C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25" w:type="dxa"/>
            <w:tcBorders>
              <w:top w:val="nil"/>
              <w:left w:val="nil"/>
              <w:bottom w:val="single" w:sz="4" w:space="0" w:color="auto"/>
              <w:right w:val="single" w:sz="4" w:space="0" w:color="auto"/>
            </w:tcBorders>
            <w:shd w:val="clear" w:color="auto" w:fill="auto"/>
            <w:noWrap/>
            <w:vAlign w:val="bottom"/>
            <w:hideMark/>
          </w:tcPr>
          <w:p w14:paraId="7CBD95E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25" w:type="dxa"/>
            <w:tcBorders>
              <w:top w:val="nil"/>
              <w:left w:val="nil"/>
              <w:bottom w:val="single" w:sz="4" w:space="0" w:color="auto"/>
              <w:right w:val="single" w:sz="4" w:space="0" w:color="auto"/>
            </w:tcBorders>
            <w:shd w:val="clear" w:color="auto" w:fill="auto"/>
            <w:noWrap/>
            <w:vAlign w:val="bottom"/>
            <w:hideMark/>
          </w:tcPr>
          <w:p w14:paraId="102C512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14:paraId="0F3117D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14:paraId="696D279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14:paraId="367F30AA"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21B1E86"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Sunny Slopes</w:t>
            </w:r>
          </w:p>
        </w:tc>
        <w:tc>
          <w:tcPr>
            <w:tcW w:w="715" w:type="dxa"/>
            <w:tcBorders>
              <w:top w:val="single" w:sz="4" w:space="0" w:color="auto"/>
              <w:left w:val="single" w:sz="4" w:space="0" w:color="auto"/>
              <w:bottom w:val="single" w:sz="4" w:space="0" w:color="auto"/>
              <w:right w:val="single" w:sz="4" w:space="0" w:color="auto"/>
            </w:tcBorders>
            <w:shd w:val="clear" w:color="000000" w:fill="E0E696"/>
            <w:noWrap/>
            <w:vAlign w:val="bottom"/>
            <w:hideMark/>
          </w:tcPr>
          <w:p w14:paraId="556ED56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2.14</w:t>
            </w:r>
          </w:p>
        </w:tc>
        <w:tc>
          <w:tcPr>
            <w:tcW w:w="715" w:type="dxa"/>
            <w:tcBorders>
              <w:top w:val="single" w:sz="4" w:space="0" w:color="auto"/>
              <w:left w:val="single" w:sz="4" w:space="0" w:color="auto"/>
              <w:bottom w:val="single" w:sz="4" w:space="0" w:color="auto"/>
              <w:right w:val="single" w:sz="4" w:space="0" w:color="auto"/>
            </w:tcBorders>
            <w:shd w:val="clear" w:color="000000" w:fill="BADA8E"/>
            <w:noWrap/>
            <w:vAlign w:val="bottom"/>
            <w:hideMark/>
          </w:tcPr>
          <w:p w14:paraId="17FE427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2.82</w:t>
            </w:r>
          </w:p>
        </w:tc>
        <w:tc>
          <w:tcPr>
            <w:tcW w:w="663" w:type="dxa"/>
            <w:tcBorders>
              <w:top w:val="nil"/>
              <w:left w:val="nil"/>
              <w:bottom w:val="single" w:sz="4" w:space="0" w:color="auto"/>
              <w:right w:val="single" w:sz="4" w:space="0" w:color="auto"/>
            </w:tcBorders>
            <w:shd w:val="clear" w:color="auto" w:fill="auto"/>
            <w:noWrap/>
            <w:vAlign w:val="bottom"/>
            <w:hideMark/>
          </w:tcPr>
          <w:p w14:paraId="104790F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85</w:t>
            </w:r>
          </w:p>
        </w:tc>
        <w:tc>
          <w:tcPr>
            <w:tcW w:w="677" w:type="dxa"/>
            <w:tcBorders>
              <w:top w:val="nil"/>
              <w:left w:val="nil"/>
              <w:bottom w:val="single" w:sz="4" w:space="0" w:color="auto"/>
              <w:right w:val="single" w:sz="4" w:space="0" w:color="auto"/>
            </w:tcBorders>
            <w:shd w:val="clear" w:color="auto" w:fill="auto"/>
            <w:noWrap/>
            <w:vAlign w:val="bottom"/>
            <w:hideMark/>
          </w:tcPr>
          <w:p w14:paraId="24920CA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w:t>
            </w:r>
          </w:p>
        </w:tc>
        <w:tc>
          <w:tcPr>
            <w:tcW w:w="663" w:type="dxa"/>
            <w:tcBorders>
              <w:top w:val="nil"/>
              <w:left w:val="nil"/>
              <w:bottom w:val="single" w:sz="4" w:space="0" w:color="auto"/>
              <w:right w:val="single" w:sz="4" w:space="0" w:color="auto"/>
            </w:tcBorders>
            <w:shd w:val="clear" w:color="auto" w:fill="auto"/>
            <w:noWrap/>
            <w:vAlign w:val="bottom"/>
            <w:hideMark/>
          </w:tcPr>
          <w:p w14:paraId="11FB6AB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31</w:t>
            </w:r>
          </w:p>
        </w:tc>
        <w:tc>
          <w:tcPr>
            <w:tcW w:w="587" w:type="dxa"/>
            <w:tcBorders>
              <w:top w:val="nil"/>
              <w:left w:val="nil"/>
              <w:bottom w:val="single" w:sz="4" w:space="0" w:color="auto"/>
              <w:right w:val="single" w:sz="4" w:space="0" w:color="auto"/>
            </w:tcBorders>
            <w:shd w:val="clear" w:color="auto" w:fill="auto"/>
            <w:noWrap/>
            <w:vAlign w:val="bottom"/>
            <w:hideMark/>
          </w:tcPr>
          <w:p w14:paraId="7539830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625" w:type="dxa"/>
            <w:tcBorders>
              <w:top w:val="nil"/>
              <w:left w:val="nil"/>
              <w:bottom w:val="single" w:sz="4" w:space="0" w:color="auto"/>
              <w:right w:val="single" w:sz="4" w:space="0" w:color="auto"/>
            </w:tcBorders>
            <w:shd w:val="clear" w:color="auto" w:fill="auto"/>
            <w:noWrap/>
            <w:vAlign w:val="bottom"/>
            <w:hideMark/>
          </w:tcPr>
          <w:p w14:paraId="3A63DB1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25" w:type="dxa"/>
            <w:tcBorders>
              <w:top w:val="nil"/>
              <w:left w:val="nil"/>
              <w:bottom w:val="single" w:sz="4" w:space="0" w:color="auto"/>
              <w:right w:val="single" w:sz="4" w:space="0" w:color="auto"/>
            </w:tcBorders>
            <w:shd w:val="clear" w:color="auto" w:fill="auto"/>
            <w:noWrap/>
            <w:vAlign w:val="bottom"/>
            <w:hideMark/>
          </w:tcPr>
          <w:p w14:paraId="23D8C27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5" w:type="dxa"/>
            <w:tcBorders>
              <w:top w:val="nil"/>
              <w:left w:val="nil"/>
              <w:bottom w:val="single" w:sz="4" w:space="0" w:color="auto"/>
              <w:right w:val="single" w:sz="4" w:space="0" w:color="auto"/>
            </w:tcBorders>
            <w:shd w:val="clear" w:color="auto" w:fill="auto"/>
            <w:noWrap/>
            <w:vAlign w:val="bottom"/>
            <w:hideMark/>
          </w:tcPr>
          <w:p w14:paraId="4DA9498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5" w:type="dxa"/>
            <w:tcBorders>
              <w:top w:val="nil"/>
              <w:left w:val="nil"/>
              <w:bottom w:val="single" w:sz="4" w:space="0" w:color="auto"/>
              <w:right w:val="single" w:sz="4" w:space="0" w:color="auto"/>
            </w:tcBorders>
            <w:shd w:val="clear" w:color="auto" w:fill="auto"/>
            <w:noWrap/>
            <w:vAlign w:val="bottom"/>
            <w:hideMark/>
          </w:tcPr>
          <w:p w14:paraId="7276113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14:paraId="3F03DDEF"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87AC0E6" w14:textId="77777777" w:rsidR="00BC3D09" w:rsidRPr="00902009" w:rsidRDefault="00022FE4" w:rsidP="00BC3D09">
            <w:pPr>
              <w:spacing w:after="0" w:line="240" w:lineRule="auto"/>
              <w:rPr>
                <w:rFonts w:eastAsia="Times New Roman" w:cs="Times New Roman"/>
                <w:color w:val="000000"/>
              </w:rPr>
            </w:pPr>
            <w:r>
              <w:rPr>
                <w:rFonts w:eastAsia="Times New Roman" w:cs="Times New Roman"/>
                <w:color w:val="000000"/>
              </w:rPr>
              <w:t>Asp</w:t>
            </w:r>
            <w:r w:rsidR="00BC3D09" w:rsidRPr="00902009">
              <w:rPr>
                <w:rFonts w:eastAsia="Times New Roman" w:cs="Times New Roman"/>
                <w:color w:val="000000"/>
              </w:rPr>
              <w:t>en Springs</w:t>
            </w:r>
          </w:p>
        </w:tc>
        <w:tc>
          <w:tcPr>
            <w:tcW w:w="715" w:type="dxa"/>
            <w:tcBorders>
              <w:top w:val="single" w:sz="4" w:space="0" w:color="auto"/>
              <w:left w:val="single" w:sz="4" w:space="0" w:color="auto"/>
              <w:bottom w:val="single" w:sz="4" w:space="0" w:color="auto"/>
              <w:right w:val="single" w:sz="4" w:space="0" w:color="auto"/>
            </w:tcBorders>
            <w:shd w:val="clear" w:color="000000" w:fill="94CE86"/>
            <w:noWrap/>
            <w:vAlign w:val="bottom"/>
            <w:hideMark/>
          </w:tcPr>
          <w:p w14:paraId="28471AE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715" w:type="dxa"/>
            <w:tcBorders>
              <w:top w:val="single" w:sz="4" w:space="0" w:color="auto"/>
              <w:left w:val="single" w:sz="4" w:space="0" w:color="auto"/>
              <w:bottom w:val="single" w:sz="4" w:space="0" w:color="auto"/>
              <w:right w:val="single" w:sz="4" w:space="0" w:color="auto"/>
            </w:tcBorders>
            <w:shd w:val="clear" w:color="000000" w:fill="CCDF92"/>
            <w:noWrap/>
            <w:vAlign w:val="bottom"/>
            <w:hideMark/>
          </w:tcPr>
          <w:p w14:paraId="4AE030F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2.73</w:t>
            </w:r>
          </w:p>
        </w:tc>
        <w:tc>
          <w:tcPr>
            <w:tcW w:w="663" w:type="dxa"/>
            <w:tcBorders>
              <w:top w:val="nil"/>
              <w:left w:val="nil"/>
              <w:bottom w:val="single" w:sz="4" w:space="0" w:color="auto"/>
              <w:right w:val="single" w:sz="4" w:space="0" w:color="auto"/>
            </w:tcBorders>
            <w:shd w:val="clear" w:color="auto" w:fill="auto"/>
            <w:noWrap/>
            <w:vAlign w:val="bottom"/>
            <w:hideMark/>
          </w:tcPr>
          <w:p w14:paraId="15C24E4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677" w:type="dxa"/>
            <w:tcBorders>
              <w:top w:val="nil"/>
              <w:left w:val="nil"/>
              <w:bottom w:val="single" w:sz="4" w:space="0" w:color="auto"/>
              <w:right w:val="single" w:sz="4" w:space="0" w:color="auto"/>
            </w:tcBorders>
            <w:shd w:val="clear" w:color="auto" w:fill="auto"/>
            <w:noWrap/>
            <w:vAlign w:val="bottom"/>
            <w:hideMark/>
          </w:tcPr>
          <w:p w14:paraId="5A42445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63" w:type="dxa"/>
            <w:tcBorders>
              <w:top w:val="nil"/>
              <w:left w:val="nil"/>
              <w:bottom w:val="single" w:sz="4" w:space="0" w:color="auto"/>
              <w:right w:val="single" w:sz="4" w:space="0" w:color="auto"/>
            </w:tcBorders>
            <w:shd w:val="clear" w:color="auto" w:fill="auto"/>
            <w:noWrap/>
            <w:vAlign w:val="bottom"/>
            <w:hideMark/>
          </w:tcPr>
          <w:p w14:paraId="3B43FD0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w:t>
            </w:r>
          </w:p>
        </w:tc>
        <w:tc>
          <w:tcPr>
            <w:tcW w:w="587" w:type="dxa"/>
            <w:tcBorders>
              <w:top w:val="nil"/>
              <w:left w:val="nil"/>
              <w:bottom w:val="single" w:sz="4" w:space="0" w:color="auto"/>
              <w:right w:val="single" w:sz="4" w:space="0" w:color="auto"/>
            </w:tcBorders>
            <w:shd w:val="clear" w:color="auto" w:fill="auto"/>
            <w:noWrap/>
            <w:vAlign w:val="bottom"/>
            <w:hideMark/>
          </w:tcPr>
          <w:p w14:paraId="3A4E6CA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25" w:type="dxa"/>
            <w:tcBorders>
              <w:top w:val="nil"/>
              <w:left w:val="nil"/>
              <w:bottom w:val="single" w:sz="4" w:space="0" w:color="auto"/>
              <w:right w:val="single" w:sz="4" w:space="0" w:color="auto"/>
            </w:tcBorders>
            <w:shd w:val="clear" w:color="auto" w:fill="auto"/>
            <w:noWrap/>
            <w:vAlign w:val="bottom"/>
            <w:hideMark/>
          </w:tcPr>
          <w:p w14:paraId="6DAA1EB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w:t>
            </w:r>
          </w:p>
        </w:tc>
        <w:tc>
          <w:tcPr>
            <w:tcW w:w="625" w:type="dxa"/>
            <w:tcBorders>
              <w:top w:val="nil"/>
              <w:left w:val="nil"/>
              <w:bottom w:val="single" w:sz="4" w:space="0" w:color="auto"/>
              <w:right w:val="single" w:sz="4" w:space="0" w:color="auto"/>
            </w:tcBorders>
            <w:shd w:val="clear" w:color="auto" w:fill="auto"/>
            <w:noWrap/>
            <w:vAlign w:val="bottom"/>
            <w:hideMark/>
          </w:tcPr>
          <w:p w14:paraId="32698EE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5" w:type="dxa"/>
            <w:tcBorders>
              <w:top w:val="nil"/>
              <w:left w:val="nil"/>
              <w:bottom w:val="single" w:sz="4" w:space="0" w:color="auto"/>
              <w:right w:val="single" w:sz="4" w:space="0" w:color="auto"/>
            </w:tcBorders>
            <w:shd w:val="clear" w:color="auto" w:fill="auto"/>
            <w:noWrap/>
            <w:vAlign w:val="bottom"/>
            <w:hideMark/>
          </w:tcPr>
          <w:p w14:paraId="169CED5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14:paraId="1D4A1B3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14:paraId="1A7BC721"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1265ED73"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Crowley Lake</w:t>
            </w:r>
          </w:p>
        </w:tc>
        <w:tc>
          <w:tcPr>
            <w:tcW w:w="715" w:type="dxa"/>
            <w:tcBorders>
              <w:top w:val="single" w:sz="4" w:space="0" w:color="auto"/>
              <w:left w:val="single" w:sz="4" w:space="0" w:color="auto"/>
              <w:bottom w:val="single" w:sz="4" w:space="0" w:color="auto"/>
              <w:right w:val="single" w:sz="4" w:space="0" w:color="auto"/>
            </w:tcBorders>
            <w:shd w:val="clear" w:color="000000" w:fill="BADA8E"/>
            <w:noWrap/>
            <w:vAlign w:val="bottom"/>
            <w:hideMark/>
          </w:tcPr>
          <w:p w14:paraId="6B52FD2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2.37</w:t>
            </w:r>
          </w:p>
        </w:tc>
        <w:tc>
          <w:tcPr>
            <w:tcW w:w="715" w:type="dxa"/>
            <w:tcBorders>
              <w:top w:val="single" w:sz="4" w:space="0" w:color="auto"/>
              <w:left w:val="single" w:sz="4" w:space="0" w:color="auto"/>
              <w:bottom w:val="single" w:sz="4" w:space="0" w:color="auto"/>
              <w:right w:val="single" w:sz="4" w:space="0" w:color="auto"/>
            </w:tcBorders>
            <w:shd w:val="clear" w:color="000000" w:fill="AED68B"/>
            <w:noWrap/>
            <w:vAlign w:val="bottom"/>
            <w:hideMark/>
          </w:tcPr>
          <w:p w14:paraId="69C70A6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2.88</w:t>
            </w:r>
          </w:p>
        </w:tc>
        <w:tc>
          <w:tcPr>
            <w:tcW w:w="663" w:type="dxa"/>
            <w:tcBorders>
              <w:top w:val="nil"/>
              <w:left w:val="nil"/>
              <w:bottom w:val="single" w:sz="4" w:space="0" w:color="auto"/>
              <w:right w:val="single" w:sz="4" w:space="0" w:color="auto"/>
            </w:tcBorders>
            <w:shd w:val="clear" w:color="auto" w:fill="auto"/>
            <w:noWrap/>
            <w:vAlign w:val="bottom"/>
            <w:hideMark/>
          </w:tcPr>
          <w:p w14:paraId="13E7CD3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367</w:t>
            </w:r>
          </w:p>
        </w:tc>
        <w:tc>
          <w:tcPr>
            <w:tcW w:w="677" w:type="dxa"/>
            <w:tcBorders>
              <w:top w:val="nil"/>
              <w:left w:val="nil"/>
              <w:bottom w:val="single" w:sz="4" w:space="0" w:color="auto"/>
              <w:right w:val="single" w:sz="4" w:space="0" w:color="auto"/>
            </w:tcBorders>
            <w:shd w:val="clear" w:color="auto" w:fill="auto"/>
            <w:noWrap/>
            <w:vAlign w:val="bottom"/>
            <w:hideMark/>
          </w:tcPr>
          <w:p w14:paraId="3EB98E9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99</w:t>
            </w:r>
          </w:p>
        </w:tc>
        <w:tc>
          <w:tcPr>
            <w:tcW w:w="663" w:type="dxa"/>
            <w:tcBorders>
              <w:top w:val="nil"/>
              <w:left w:val="nil"/>
              <w:bottom w:val="single" w:sz="4" w:space="0" w:color="auto"/>
              <w:right w:val="single" w:sz="4" w:space="0" w:color="auto"/>
            </w:tcBorders>
            <w:shd w:val="clear" w:color="auto" w:fill="auto"/>
            <w:noWrap/>
            <w:vAlign w:val="bottom"/>
            <w:hideMark/>
          </w:tcPr>
          <w:p w14:paraId="6FA083E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138</w:t>
            </w:r>
          </w:p>
        </w:tc>
        <w:tc>
          <w:tcPr>
            <w:tcW w:w="587" w:type="dxa"/>
            <w:tcBorders>
              <w:top w:val="nil"/>
              <w:left w:val="nil"/>
              <w:bottom w:val="single" w:sz="4" w:space="0" w:color="auto"/>
              <w:right w:val="single" w:sz="4" w:space="0" w:color="auto"/>
            </w:tcBorders>
            <w:shd w:val="clear" w:color="auto" w:fill="auto"/>
            <w:noWrap/>
            <w:vAlign w:val="bottom"/>
            <w:hideMark/>
          </w:tcPr>
          <w:p w14:paraId="7BF2476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59</w:t>
            </w:r>
          </w:p>
        </w:tc>
        <w:tc>
          <w:tcPr>
            <w:tcW w:w="625" w:type="dxa"/>
            <w:tcBorders>
              <w:top w:val="nil"/>
              <w:left w:val="nil"/>
              <w:bottom w:val="single" w:sz="4" w:space="0" w:color="auto"/>
              <w:right w:val="single" w:sz="4" w:space="0" w:color="auto"/>
            </w:tcBorders>
            <w:shd w:val="clear" w:color="auto" w:fill="auto"/>
            <w:noWrap/>
            <w:vAlign w:val="bottom"/>
            <w:hideMark/>
          </w:tcPr>
          <w:p w14:paraId="18AB3E7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47</w:t>
            </w:r>
          </w:p>
        </w:tc>
        <w:tc>
          <w:tcPr>
            <w:tcW w:w="625" w:type="dxa"/>
            <w:tcBorders>
              <w:top w:val="nil"/>
              <w:left w:val="nil"/>
              <w:bottom w:val="single" w:sz="4" w:space="0" w:color="auto"/>
              <w:right w:val="single" w:sz="4" w:space="0" w:color="auto"/>
            </w:tcBorders>
            <w:shd w:val="clear" w:color="auto" w:fill="auto"/>
            <w:noWrap/>
            <w:vAlign w:val="bottom"/>
            <w:hideMark/>
          </w:tcPr>
          <w:p w14:paraId="7C88770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625" w:type="dxa"/>
            <w:tcBorders>
              <w:top w:val="nil"/>
              <w:left w:val="nil"/>
              <w:bottom w:val="single" w:sz="4" w:space="0" w:color="auto"/>
              <w:right w:val="single" w:sz="4" w:space="0" w:color="auto"/>
            </w:tcBorders>
            <w:shd w:val="clear" w:color="auto" w:fill="auto"/>
            <w:noWrap/>
            <w:vAlign w:val="bottom"/>
            <w:hideMark/>
          </w:tcPr>
          <w:p w14:paraId="1A4A536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w:t>
            </w:r>
          </w:p>
        </w:tc>
        <w:tc>
          <w:tcPr>
            <w:tcW w:w="625" w:type="dxa"/>
            <w:tcBorders>
              <w:top w:val="nil"/>
              <w:left w:val="nil"/>
              <w:bottom w:val="single" w:sz="4" w:space="0" w:color="auto"/>
              <w:right w:val="single" w:sz="4" w:space="0" w:color="auto"/>
            </w:tcBorders>
            <w:shd w:val="clear" w:color="auto" w:fill="auto"/>
            <w:noWrap/>
            <w:vAlign w:val="bottom"/>
            <w:hideMark/>
          </w:tcPr>
          <w:p w14:paraId="306E81F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r>
      <w:tr w:rsidR="00BC3D09" w:rsidRPr="00902009" w14:paraId="3C504D69"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199308E5"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McGee Creek</w:t>
            </w:r>
          </w:p>
        </w:tc>
        <w:tc>
          <w:tcPr>
            <w:tcW w:w="71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8C8ECB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1.95</w:t>
            </w:r>
          </w:p>
        </w:tc>
        <w:tc>
          <w:tcPr>
            <w:tcW w:w="715" w:type="dxa"/>
            <w:tcBorders>
              <w:top w:val="single" w:sz="4" w:space="0" w:color="auto"/>
              <w:left w:val="single" w:sz="4" w:space="0" w:color="auto"/>
              <w:bottom w:val="single" w:sz="4" w:space="0" w:color="auto"/>
              <w:right w:val="single" w:sz="4" w:space="0" w:color="auto"/>
            </w:tcBorders>
            <w:shd w:val="clear" w:color="000000" w:fill="FAEE9B"/>
            <w:noWrap/>
            <w:vAlign w:val="bottom"/>
            <w:hideMark/>
          </w:tcPr>
          <w:p w14:paraId="0F2F0DA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663" w:type="dxa"/>
            <w:tcBorders>
              <w:top w:val="nil"/>
              <w:left w:val="nil"/>
              <w:bottom w:val="single" w:sz="4" w:space="0" w:color="auto"/>
              <w:right w:val="single" w:sz="4" w:space="0" w:color="auto"/>
            </w:tcBorders>
            <w:shd w:val="clear" w:color="auto" w:fill="auto"/>
            <w:noWrap/>
            <w:vAlign w:val="bottom"/>
            <w:hideMark/>
          </w:tcPr>
          <w:p w14:paraId="1B2C080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14:paraId="033CC32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63" w:type="dxa"/>
            <w:tcBorders>
              <w:top w:val="nil"/>
              <w:left w:val="nil"/>
              <w:bottom w:val="single" w:sz="4" w:space="0" w:color="auto"/>
              <w:right w:val="single" w:sz="4" w:space="0" w:color="auto"/>
            </w:tcBorders>
            <w:shd w:val="clear" w:color="auto" w:fill="auto"/>
            <w:noWrap/>
            <w:vAlign w:val="bottom"/>
            <w:hideMark/>
          </w:tcPr>
          <w:p w14:paraId="4D172AA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7</w:t>
            </w:r>
          </w:p>
        </w:tc>
        <w:tc>
          <w:tcPr>
            <w:tcW w:w="587" w:type="dxa"/>
            <w:tcBorders>
              <w:top w:val="nil"/>
              <w:left w:val="nil"/>
              <w:bottom w:val="single" w:sz="4" w:space="0" w:color="auto"/>
              <w:right w:val="single" w:sz="4" w:space="0" w:color="auto"/>
            </w:tcBorders>
            <w:shd w:val="clear" w:color="auto" w:fill="auto"/>
            <w:noWrap/>
            <w:vAlign w:val="bottom"/>
            <w:hideMark/>
          </w:tcPr>
          <w:p w14:paraId="0CCCE63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14:paraId="2BA8EC1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5" w:type="dxa"/>
            <w:tcBorders>
              <w:top w:val="nil"/>
              <w:left w:val="nil"/>
              <w:bottom w:val="single" w:sz="4" w:space="0" w:color="auto"/>
              <w:right w:val="single" w:sz="4" w:space="0" w:color="auto"/>
            </w:tcBorders>
            <w:shd w:val="clear" w:color="auto" w:fill="auto"/>
            <w:noWrap/>
            <w:vAlign w:val="bottom"/>
            <w:hideMark/>
          </w:tcPr>
          <w:p w14:paraId="0A7681A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14:paraId="7F58C63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14:paraId="0BB866E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14:paraId="294D70A9"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FB69666"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June Lake</w:t>
            </w:r>
          </w:p>
        </w:tc>
        <w:tc>
          <w:tcPr>
            <w:tcW w:w="715"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14:paraId="4AB4BE6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2.16</w:t>
            </w:r>
          </w:p>
        </w:tc>
        <w:tc>
          <w:tcPr>
            <w:tcW w:w="715" w:type="dxa"/>
            <w:tcBorders>
              <w:top w:val="single" w:sz="4" w:space="0" w:color="auto"/>
              <w:left w:val="single" w:sz="4" w:space="0" w:color="auto"/>
              <w:bottom w:val="single" w:sz="4" w:space="0" w:color="auto"/>
              <w:right w:val="single" w:sz="4" w:space="0" w:color="auto"/>
            </w:tcBorders>
            <w:shd w:val="clear" w:color="000000" w:fill="C4DD90"/>
            <w:noWrap/>
            <w:vAlign w:val="bottom"/>
            <w:hideMark/>
          </w:tcPr>
          <w:p w14:paraId="12F9CFF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2.77</w:t>
            </w:r>
          </w:p>
        </w:tc>
        <w:tc>
          <w:tcPr>
            <w:tcW w:w="663" w:type="dxa"/>
            <w:tcBorders>
              <w:top w:val="nil"/>
              <w:left w:val="nil"/>
              <w:bottom w:val="single" w:sz="4" w:space="0" w:color="auto"/>
              <w:right w:val="single" w:sz="4" w:space="0" w:color="auto"/>
            </w:tcBorders>
            <w:shd w:val="clear" w:color="auto" w:fill="auto"/>
            <w:noWrap/>
            <w:vAlign w:val="bottom"/>
            <w:hideMark/>
          </w:tcPr>
          <w:p w14:paraId="14ACCA7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290</w:t>
            </w:r>
          </w:p>
        </w:tc>
        <w:tc>
          <w:tcPr>
            <w:tcW w:w="677" w:type="dxa"/>
            <w:tcBorders>
              <w:top w:val="nil"/>
              <w:left w:val="nil"/>
              <w:bottom w:val="single" w:sz="4" w:space="0" w:color="auto"/>
              <w:right w:val="single" w:sz="4" w:space="0" w:color="auto"/>
            </w:tcBorders>
            <w:shd w:val="clear" w:color="auto" w:fill="auto"/>
            <w:noWrap/>
            <w:vAlign w:val="bottom"/>
            <w:hideMark/>
          </w:tcPr>
          <w:p w14:paraId="43E021D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97</w:t>
            </w:r>
          </w:p>
        </w:tc>
        <w:tc>
          <w:tcPr>
            <w:tcW w:w="663" w:type="dxa"/>
            <w:tcBorders>
              <w:top w:val="nil"/>
              <w:left w:val="nil"/>
              <w:bottom w:val="single" w:sz="4" w:space="0" w:color="auto"/>
              <w:right w:val="single" w:sz="4" w:space="0" w:color="auto"/>
            </w:tcBorders>
            <w:shd w:val="clear" w:color="auto" w:fill="auto"/>
            <w:noWrap/>
            <w:vAlign w:val="bottom"/>
            <w:hideMark/>
          </w:tcPr>
          <w:p w14:paraId="087F943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119</w:t>
            </w:r>
          </w:p>
        </w:tc>
        <w:tc>
          <w:tcPr>
            <w:tcW w:w="587" w:type="dxa"/>
            <w:tcBorders>
              <w:top w:val="nil"/>
              <w:left w:val="nil"/>
              <w:bottom w:val="single" w:sz="4" w:space="0" w:color="auto"/>
              <w:right w:val="single" w:sz="4" w:space="0" w:color="auto"/>
            </w:tcBorders>
            <w:shd w:val="clear" w:color="auto" w:fill="auto"/>
            <w:noWrap/>
            <w:vAlign w:val="bottom"/>
            <w:hideMark/>
          </w:tcPr>
          <w:p w14:paraId="2166E58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w:t>
            </w:r>
          </w:p>
        </w:tc>
        <w:tc>
          <w:tcPr>
            <w:tcW w:w="625" w:type="dxa"/>
            <w:tcBorders>
              <w:top w:val="nil"/>
              <w:left w:val="nil"/>
              <w:bottom w:val="single" w:sz="4" w:space="0" w:color="auto"/>
              <w:right w:val="single" w:sz="4" w:space="0" w:color="auto"/>
            </w:tcBorders>
            <w:shd w:val="clear" w:color="auto" w:fill="auto"/>
            <w:noWrap/>
            <w:vAlign w:val="bottom"/>
            <w:hideMark/>
          </w:tcPr>
          <w:p w14:paraId="037FCE6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625" w:type="dxa"/>
            <w:tcBorders>
              <w:top w:val="nil"/>
              <w:left w:val="nil"/>
              <w:bottom w:val="single" w:sz="4" w:space="0" w:color="auto"/>
              <w:right w:val="single" w:sz="4" w:space="0" w:color="auto"/>
            </w:tcBorders>
            <w:shd w:val="clear" w:color="auto" w:fill="auto"/>
            <w:noWrap/>
            <w:vAlign w:val="bottom"/>
            <w:hideMark/>
          </w:tcPr>
          <w:p w14:paraId="591CEF0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15</w:t>
            </w:r>
          </w:p>
        </w:tc>
        <w:tc>
          <w:tcPr>
            <w:tcW w:w="625" w:type="dxa"/>
            <w:tcBorders>
              <w:top w:val="nil"/>
              <w:left w:val="nil"/>
              <w:bottom w:val="single" w:sz="4" w:space="0" w:color="auto"/>
              <w:right w:val="single" w:sz="4" w:space="0" w:color="auto"/>
            </w:tcBorders>
            <w:shd w:val="clear" w:color="auto" w:fill="auto"/>
            <w:noWrap/>
            <w:vAlign w:val="bottom"/>
            <w:hideMark/>
          </w:tcPr>
          <w:p w14:paraId="460B85B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25" w:type="dxa"/>
            <w:tcBorders>
              <w:top w:val="nil"/>
              <w:left w:val="nil"/>
              <w:bottom w:val="single" w:sz="4" w:space="0" w:color="auto"/>
              <w:right w:val="single" w:sz="4" w:space="0" w:color="auto"/>
            </w:tcBorders>
            <w:shd w:val="clear" w:color="auto" w:fill="auto"/>
            <w:noWrap/>
            <w:vAlign w:val="bottom"/>
            <w:hideMark/>
          </w:tcPr>
          <w:p w14:paraId="4315759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r>
      <w:tr w:rsidR="00BC3D09" w:rsidRPr="00902009" w14:paraId="7ADB85A4"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1AE7C376"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Lee Vining</w:t>
            </w:r>
          </w:p>
        </w:tc>
        <w:tc>
          <w:tcPr>
            <w:tcW w:w="715" w:type="dxa"/>
            <w:tcBorders>
              <w:top w:val="single" w:sz="4" w:space="0" w:color="auto"/>
              <w:left w:val="single" w:sz="4" w:space="0" w:color="auto"/>
              <w:bottom w:val="single" w:sz="4" w:space="0" w:color="auto"/>
              <w:right w:val="single" w:sz="4" w:space="0" w:color="auto"/>
            </w:tcBorders>
            <w:shd w:val="clear" w:color="000000" w:fill="A3D289"/>
            <w:noWrap/>
            <w:vAlign w:val="bottom"/>
            <w:hideMark/>
          </w:tcPr>
          <w:p w14:paraId="484244F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2.51</w:t>
            </w:r>
          </w:p>
        </w:tc>
        <w:tc>
          <w:tcPr>
            <w:tcW w:w="71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15C429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3.25</w:t>
            </w:r>
          </w:p>
        </w:tc>
        <w:tc>
          <w:tcPr>
            <w:tcW w:w="663" w:type="dxa"/>
            <w:tcBorders>
              <w:top w:val="nil"/>
              <w:left w:val="nil"/>
              <w:bottom w:val="single" w:sz="4" w:space="0" w:color="auto"/>
              <w:right w:val="single" w:sz="4" w:space="0" w:color="auto"/>
            </w:tcBorders>
            <w:shd w:val="clear" w:color="auto" w:fill="auto"/>
            <w:noWrap/>
            <w:vAlign w:val="bottom"/>
            <w:hideMark/>
          </w:tcPr>
          <w:p w14:paraId="3B73A80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85</w:t>
            </w:r>
          </w:p>
        </w:tc>
        <w:tc>
          <w:tcPr>
            <w:tcW w:w="677" w:type="dxa"/>
            <w:tcBorders>
              <w:top w:val="nil"/>
              <w:left w:val="nil"/>
              <w:bottom w:val="single" w:sz="4" w:space="0" w:color="auto"/>
              <w:right w:val="single" w:sz="4" w:space="0" w:color="auto"/>
            </w:tcBorders>
            <w:shd w:val="clear" w:color="auto" w:fill="auto"/>
            <w:noWrap/>
            <w:vAlign w:val="bottom"/>
            <w:hideMark/>
          </w:tcPr>
          <w:p w14:paraId="5F01A9B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w:t>
            </w:r>
          </w:p>
        </w:tc>
        <w:tc>
          <w:tcPr>
            <w:tcW w:w="663" w:type="dxa"/>
            <w:tcBorders>
              <w:top w:val="nil"/>
              <w:left w:val="nil"/>
              <w:bottom w:val="single" w:sz="4" w:space="0" w:color="auto"/>
              <w:right w:val="single" w:sz="4" w:space="0" w:color="auto"/>
            </w:tcBorders>
            <w:shd w:val="clear" w:color="auto" w:fill="auto"/>
            <w:noWrap/>
            <w:vAlign w:val="bottom"/>
            <w:hideMark/>
          </w:tcPr>
          <w:p w14:paraId="5DD9EDB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w:t>
            </w:r>
          </w:p>
        </w:tc>
        <w:tc>
          <w:tcPr>
            <w:tcW w:w="587" w:type="dxa"/>
            <w:tcBorders>
              <w:top w:val="nil"/>
              <w:left w:val="nil"/>
              <w:bottom w:val="single" w:sz="4" w:space="0" w:color="auto"/>
              <w:right w:val="single" w:sz="4" w:space="0" w:color="auto"/>
            </w:tcBorders>
            <w:shd w:val="clear" w:color="auto" w:fill="auto"/>
            <w:noWrap/>
            <w:vAlign w:val="bottom"/>
            <w:hideMark/>
          </w:tcPr>
          <w:p w14:paraId="0C822DF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w:t>
            </w:r>
          </w:p>
        </w:tc>
        <w:tc>
          <w:tcPr>
            <w:tcW w:w="625" w:type="dxa"/>
            <w:tcBorders>
              <w:top w:val="nil"/>
              <w:left w:val="nil"/>
              <w:bottom w:val="single" w:sz="4" w:space="0" w:color="auto"/>
              <w:right w:val="single" w:sz="4" w:space="0" w:color="auto"/>
            </w:tcBorders>
            <w:shd w:val="clear" w:color="auto" w:fill="auto"/>
            <w:noWrap/>
            <w:vAlign w:val="bottom"/>
            <w:hideMark/>
          </w:tcPr>
          <w:p w14:paraId="792A79C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12</w:t>
            </w:r>
          </w:p>
        </w:tc>
        <w:tc>
          <w:tcPr>
            <w:tcW w:w="625" w:type="dxa"/>
            <w:tcBorders>
              <w:top w:val="nil"/>
              <w:left w:val="nil"/>
              <w:bottom w:val="single" w:sz="4" w:space="0" w:color="auto"/>
              <w:right w:val="single" w:sz="4" w:space="0" w:color="auto"/>
            </w:tcBorders>
            <w:shd w:val="clear" w:color="auto" w:fill="auto"/>
            <w:noWrap/>
            <w:vAlign w:val="bottom"/>
            <w:hideMark/>
          </w:tcPr>
          <w:p w14:paraId="6D8EBCB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w:t>
            </w:r>
          </w:p>
        </w:tc>
        <w:tc>
          <w:tcPr>
            <w:tcW w:w="625" w:type="dxa"/>
            <w:tcBorders>
              <w:top w:val="nil"/>
              <w:left w:val="nil"/>
              <w:bottom w:val="single" w:sz="4" w:space="0" w:color="auto"/>
              <w:right w:val="single" w:sz="4" w:space="0" w:color="auto"/>
            </w:tcBorders>
            <w:shd w:val="clear" w:color="auto" w:fill="auto"/>
            <w:noWrap/>
            <w:vAlign w:val="bottom"/>
            <w:hideMark/>
          </w:tcPr>
          <w:p w14:paraId="17EA378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5" w:type="dxa"/>
            <w:tcBorders>
              <w:top w:val="nil"/>
              <w:left w:val="nil"/>
              <w:bottom w:val="single" w:sz="4" w:space="0" w:color="auto"/>
              <w:right w:val="single" w:sz="4" w:space="0" w:color="auto"/>
            </w:tcBorders>
            <w:shd w:val="clear" w:color="auto" w:fill="auto"/>
            <w:noWrap/>
            <w:vAlign w:val="bottom"/>
            <w:hideMark/>
          </w:tcPr>
          <w:p w14:paraId="0F60424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r>
      <w:tr w:rsidR="00BC3D09" w:rsidRPr="00902009" w14:paraId="05166F79"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2A2DB57"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Mono City</w:t>
            </w:r>
          </w:p>
        </w:tc>
        <w:tc>
          <w:tcPr>
            <w:tcW w:w="715" w:type="dxa"/>
            <w:tcBorders>
              <w:top w:val="single" w:sz="4" w:space="0" w:color="auto"/>
              <w:left w:val="single" w:sz="4" w:space="0" w:color="auto"/>
              <w:bottom w:val="single" w:sz="4" w:space="0" w:color="auto"/>
              <w:right w:val="single" w:sz="4" w:space="0" w:color="auto"/>
            </w:tcBorders>
            <w:shd w:val="clear" w:color="000000" w:fill="7EC781"/>
            <w:noWrap/>
            <w:vAlign w:val="bottom"/>
            <w:hideMark/>
          </w:tcPr>
          <w:p w14:paraId="4CC56EB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2.73</w:t>
            </w:r>
          </w:p>
        </w:tc>
        <w:tc>
          <w:tcPr>
            <w:tcW w:w="715" w:type="dxa"/>
            <w:tcBorders>
              <w:top w:val="single" w:sz="4" w:space="0" w:color="auto"/>
              <w:left w:val="single" w:sz="4" w:space="0" w:color="auto"/>
              <w:bottom w:val="single" w:sz="4" w:space="0" w:color="auto"/>
              <w:right w:val="single" w:sz="4" w:space="0" w:color="auto"/>
            </w:tcBorders>
            <w:shd w:val="clear" w:color="000000" w:fill="A2D289"/>
            <w:noWrap/>
            <w:vAlign w:val="bottom"/>
            <w:hideMark/>
          </w:tcPr>
          <w:p w14:paraId="4D34978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2.94</w:t>
            </w:r>
          </w:p>
        </w:tc>
        <w:tc>
          <w:tcPr>
            <w:tcW w:w="663" w:type="dxa"/>
            <w:tcBorders>
              <w:top w:val="nil"/>
              <w:left w:val="nil"/>
              <w:bottom w:val="single" w:sz="4" w:space="0" w:color="auto"/>
              <w:right w:val="single" w:sz="4" w:space="0" w:color="auto"/>
            </w:tcBorders>
            <w:shd w:val="clear" w:color="auto" w:fill="auto"/>
            <w:noWrap/>
            <w:vAlign w:val="bottom"/>
            <w:hideMark/>
          </w:tcPr>
          <w:p w14:paraId="75A6E3D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63</w:t>
            </w:r>
          </w:p>
        </w:tc>
        <w:tc>
          <w:tcPr>
            <w:tcW w:w="677" w:type="dxa"/>
            <w:tcBorders>
              <w:top w:val="nil"/>
              <w:left w:val="nil"/>
              <w:bottom w:val="single" w:sz="4" w:space="0" w:color="auto"/>
              <w:right w:val="single" w:sz="4" w:space="0" w:color="auto"/>
            </w:tcBorders>
            <w:shd w:val="clear" w:color="auto" w:fill="auto"/>
            <w:noWrap/>
            <w:vAlign w:val="bottom"/>
            <w:hideMark/>
          </w:tcPr>
          <w:p w14:paraId="1E7FDDB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63" w:type="dxa"/>
            <w:tcBorders>
              <w:top w:val="nil"/>
              <w:left w:val="nil"/>
              <w:bottom w:val="single" w:sz="4" w:space="0" w:color="auto"/>
              <w:right w:val="single" w:sz="4" w:space="0" w:color="auto"/>
            </w:tcBorders>
            <w:shd w:val="clear" w:color="auto" w:fill="auto"/>
            <w:noWrap/>
            <w:vAlign w:val="bottom"/>
            <w:hideMark/>
          </w:tcPr>
          <w:p w14:paraId="2A688B7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30</w:t>
            </w:r>
          </w:p>
        </w:tc>
        <w:tc>
          <w:tcPr>
            <w:tcW w:w="587" w:type="dxa"/>
            <w:tcBorders>
              <w:top w:val="nil"/>
              <w:left w:val="nil"/>
              <w:bottom w:val="single" w:sz="4" w:space="0" w:color="auto"/>
              <w:right w:val="single" w:sz="4" w:space="0" w:color="auto"/>
            </w:tcBorders>
            <w:shd w:val="clear" w:color="auto" w:fill="auto"/>
            <w:noWrap/>
            <w:vAlign w:val="bottom"/>
            <w:hideMark/>
          </w:tcPr>
          <w:p w14:paraId="07BB4EF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11</w:t>
            </w:r>
          </w:p>
        </w:tc>
        <w:tc>
          <w:tcPr>
            <w:tcW w:w="625" w:type="dxa"/>
            <w:tcBorders>
              <w:top w:val="nil"/>
              <w:left w:val="nil"/>
              <w:bottom w:val="single" w:sz="4" w:space="0" w:color="auto"/>
              <w:right w:val="single" w:sz="4" w:space="0" w:color="auto"/>
            </w:tcBorders>
            <w:shd w:val="clear" w:color="auto" w:fill="auto"/>
            <w:noWrap/>
            <w:vAlign w:val="bottom"/>
            <w:hideMark/>
          </w:tcPr>
          <w:p w14:paraId="37D1217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25" w:type="dxa"/>
            <w:tcBorders>
              <w:top w:val="nil"/>
              <w:left w:val="nil"/>
              <w:bottom w:val="single" w:sz="4" w:space="0" w:color="auto"/>
              <w:right w:val="single" w:sz="4" w:space="0" w:color="auto"/>
            </w:tcBorders>
            <w:shd w:val="clear" w:color="auto" w:fill="auto"/>
            <w:noWrap/>
            <w:vAlign w:val="bottom"/>
            <w:hideMark/>
          </w:tcPr>
          <w:p w14:paraId="6CFC990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5" w:type="dxa"/>
            <w:tcBorders>
              <w:top w:val="nil"/>
              <w:left w:val="nil"/>
              <w:bottom w:val="single" w:sz="4" w:space="0" w:color="auto"/>
              <w:right w:val="single" w:sz="4" w:space="0" w:color="auto"/>
            </w:tcBorders>
            <w:shd w:val="clear" w:color="auto" w:fill="auto"/>
            <w:noWrap/>
            <w:vAlign w:val="bottom"/>
            <w:hideMark/>
          </w:tcPr>
          <w:p w14:paraId="3186BAF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14:paraId="18BF7C7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r>
      <w:tr w:rsidR="00BC3D09" w:rsidRPr="00902009" w14:paraId="698AF652"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8BF15B3"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Bridgeport</w:t>
            </w:r>
          </w:p>
        </w:tc>
        <w:tc>
          <w:tcPr>
            <w:tcW w:w="715" w:type="dxa"/>
            <w:tcBorders>
              <w:top w:val="single" w:sz="4" w:space="0" w:color="auto"/>
              <w:left w:val="single" w:sz="4" w:space="0" w:color="auto"/>
              <w:bottom w:val="single" w:sz="4" w:space="0" w:color="auto"/>
              <w:right w:val="single" w:sz="4" w:space="0" w:color="auto"/>
            </w:tcBorders>
            <w:shd w:val="clear" w:color="000000" w:fill="D9E494"/>
            <w:noWrap/>
            <w:vAlign w:val="bottom"/>
            <w:hideMark/>
          </w:tcPr>
          <w:p w14:paraId="65B05C5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2.18</w:t>
            </w:r>
          </w:p>
        </w:tc>
        <w:tc>
          <w:tcPr>
            <w:tcW w:w="715" w:type="dxa"/>
            <w:tcBorders>
              <w:top w:val="single" w:sz="4" w:space="0" w:color="auto"/>
              <w:left w:val="single" w:sz="4" w:space="0" w:color="auto"/>
              <w:bottom w:val="single" w:sz="4" w:space="0" w:color="auto"/>
              <w:right w:val="single" w:sz="4" w:space="0" w:color="auto"/>
            </w:tcBorders>
            <w:shd w:val="clear" w:color="000000" w:fill="B7D98D"/>
            <w:noWrap/>
            <w:vAlign w:val="bottom"/>
            <w:hideMark/>
          </w:tcPr>
          <w:p w14:paraId="39D2D65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2.83</w:t>
            </w:r>
          </w:p>
        </w:tc>
        <w:tc>
          <w:tcPr>
            <w:tcW w:w="663" w:type="dxa"/>
            <w:tcBorders>
              <w:top w:val="nil"/>
              <w:left w:val="nil"/>
              <w:bottom w:val="single" w:sz="4" w:space="0" w:color="auto"/>
              <w:right w:val="single" w:sz="4" w:space="0" w:color="auto"/>
            </w:tcBorders>
            <w:shd w:val="clear" w:color="auto" w:fill="auto"/>
            <w:noWrap/>
            <w:vAlign w:val="bottom"/>
            <w:hideMark/>
          </w:tcPr>
          <w:p w14:paraId="68766B1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257</w:t>
            </w:r>
          </w:p>
        </w:tc>
        <w:tc>
          <w:tcPr>
            <w:tcW w:w="677" w:type="dxa"/>
            <w:tcBorders>
              <w:top w:val="nil"/>
              <w:left w:val="nil"/>
              <w:bottom w:val="single" w:sz="4" w:space="0" w:color="auto"/>
              <w:right w:val="single" w:sz="4" w:space="0" w:color="auto"/>
            </w:tcBorders>
            <w:shd w:val="clear" w:color="auto" w:fill="auto"/>
            <w:noWrap/>
            <w:vAlign w:val="bottom"/>
            <w:hideMark/>
          </w:tcPr>
          <w:p w14:paraId="21F6A81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88</w:t>
            </w:r>
          </w:p>
        </w:tc>
        <w:tc>
          <w:tcPr>
            <w:tcW w:w="663" w:type="dxa"/>
            <w:tcBorders>
              <w:top w:val="nil"/>
              <w:left w:val="nil"/>
              <w:bottom w:val="single" w:sz="4" w:space="0" w:color="auto"/>
              <w:right w:val="single" w:sz="4" w:space="0" w:color="auto"/>
            </w:tcBorders>
            <w:shd w:val="clear" w:color="auto" w:fill="auto"/>
            <w:noWrap/>
            <w:vAlign w:val="bottom"/>
            <w:hideMark/>
          </w:tcPr>
          <w:p w14:paraId="0E9A912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97</w:t>
            </w:r>
          </w:p>
        </w:tc>
        <w:tc>
          <w:tcPr>
            <w:tcW w:w="587" w:type="dxa"/>
            <w:tcBorders>
              <w:top w:val="nil"/>
              <w:left w:val="nil"/>
              <w:bottom w:val="single" w:sz="4" w:space="0" w:color="auto"/>
              <w:right w:val="single" w:sz="4" w:space="0" w:color="auto"/>
            </w:tcBorders>
            <w:shd w:val="clear" w:color="auto" w:fill="auto"/>
            <w:noWrap/>
            <w:vAlign w:val="bottom"/>
            <w:hideMark/>
          </w:tcPr>
          <w:p w14:paraId="5ABF847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37</w:t>
            </w:r>
          </w:p>
        </w:tc>
        <w:tc>
          <w:tcPr>
            <w:tcW w:w="625" w:type="dxa"/>
            <w:tcBorders>
              <w:top w:val="nil"/>
              <w:left w:val="nil"/>
              <w:bottom w:val="single" w:sz="4" w:space="0" w:color="auto"/>
              <w:right w:val="single" w:sz="4" w:space="0" w:color="auto"/>
            </w:tcBorders>
            <w:shd w:val="clear" w:color="auto" w:fill="auto"/>
            <w:noWrap/>
            <w:vAlign w:val="bottom"/>
            <w:hideMark/>
          </w:tcPr>
          <w:p w14:paraId="0049E0B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c>
          <w:tcPr>
            <w:tcW w:w="625" w:type="dxa"/>
            <w:tcBorders>
              <w:top w:val="nil"/>
              <w:left w:val="nil"/>
              <w:bottom w:val="single" w:sz="4" w:space="0" w:color="auto"/>
              <w:right w:val="single" w:sz="4" w:space="0" w:color="auto"/>
            </w:tcBorders>
            <w:shd w:val="clear" w:color="auto" w:fill="auto"/>
            <w:noWrap/>
            <w:vAlign w:val="bottom"/>
            <w:hideMark/>
          </w:tcPr>
          <w:p w14:paraId="2D3F70C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8</w:t>
            </w:r>
          </w:p>
        </w:tc>
        <w:tc>
          <w:tcPr>
            <w:tcW w:w="625" w:type="dxa"/>
            <w:tcBorders>
              <w:top w:val="nil"/>
              <w:left w:val="nil"/>
              <w:bottom w:val="single" w:sz="4" w:space="0" w:color="auto"/>
              <w:right w:val="single" w:sz="4" w:space="0" w:color="auto"/>
            </w:tcBorders>
            <w:shd w:val="clear" w:color="auto" w:fill="auto"/>
            <w:noWrap/>
            <w:vAlign w:val="bottom"/>
            <w:hideMark/>
          </w:tcPr>
          <w:p w14:paraId="75D64C0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25" w:type="dxa"/>
            <w:tcBorders>
              <w:top w:val="nil"/>
              <w:left w:val="nil"/>
              <w:bottom w:val="single" w:sz="4" w:space="0" w:color="auto"/>
              <w:right w:val="single" w:sz="4" w:space="0" w:color="auto"/>
            </w:tcBorders>
            <w:shd w:val="clear" w:color="auto" w:fill="auto"/>
            <w:noWrap/>
            <w:vAlign w:val="bottom"/>
            <w:hideMark/>
          </w:tcPr>
          <w:p w14:paraId="392F603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r>
      <w:tr w:rsidR="00BC3D09" w:rsidRPr="00902009" w14:paraId="7BDC4AAE"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1318878D"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Walker</w:t>
            </w:r>
          </w:p>
        </w:tc>
        <w:tc>
          <w:tcPr>
            <w:tcW w:w="715" w:type="dxa"/>
            <w:tcBorders>
              <w:top w:val="single" w:sz="4" w:space="0" w:color="auto"/>
              <w:left w:val="single" w:sz="4" w:space="0" w:color="auto"/>
              <w:bottom w:val="single" w:sz="4" w:space="0" w:color="auto"/>
              <w:right w:val="single" w:sz="4" w:space="0" w:color="auto"/>
            </w:tcBorders>
            <w:shd w:val="clear" w:color="000000" w:fill="DEE595"/>
            <w:noWrap/>
            <w:vAlign w:val="bottom"/>
            <w:hideMark/>
          </w:tcPr>
          <w:p w14:paraId="2F14E4F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2.15</w:t>
            </w:r>
          </w:p>
        </w:tc>
        <w:tc>
          <w:tcPr>
            <w:tcW w:w="715" w:type="dxa"/>
            <w:tcBorders>
              <w:top w:val="single" w:sz="4" w:space="0" w:color="auto"/>
              <w:left w:val="single" w:sz="4" w:space="0" w:color="auto"/>
              <w:bottom w:val="single" w:sz="4" w:space="0" w:color="auto"/>
              <w:right w:val="single" w:sz="4" w:space="0" w:color="auto"/>
            </w:tcBorders>
            <w:shd w:val="clear" w:color="000000" w:fill="E4E797"/>
            <w:noWrap/>
            <w:vAlign w:val="bottom"/>
            <w:hideMark/>
          </w:tcPr>
          <w:p w14:paraId="4F9FDEA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2.61</w:t>
            </w:r>
          </w:p>
        </w:tc>
        <w:tc>
          <w:tcPr>
            <w:tcW w:w="663" w:type="dxa"/>
            <w:tcBorders>
              <w:top w:val="nil"/>
              <w:left w:val="nil"/>
              <w:bottom w:val="single" w:sz="4" w:space="0" w:color="auto"/>
              <w:right w:val="single" w:sz="4" w:space="0" w:color="auto"/>
            </w:tcBorders>
            <w:shd w:val="clear" w:color="auto" w:fill="auto"/>
            <w:noWrap/>
            <w:vAlign w:val="bottom"/>
            <w:hideMark/>
          </w:tcPr>
          <w:p w14:paraId="432D4BC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335</w:t>
            </w:r>
          </w:p>
        </w:tc>
        <w:tc>
          <w:tcPr>
            <w:tcW w:w="677" w:type="dxa"/>
            <w:tcBorders>
              <w:top w:val="nil"/>
              <w:left w:val="nil"/>
              <w:bottom w:val="single" w:sz="4" w:space="0" w:color="auto"/>
              <w:right w:val="single" w:sz="4" w:space="0" w:color="auto"/>
            </w:tcBorders>
            <w:shd w:val="clear" w:color="auto" w:fill="auto"/>
            <w:noWrap/>
            <w:vAlign w:val="bottom"/>
            <w:hideMark/>
          </w:tcPr>
          <w:p w14:paraId="3BC0604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101</w:t>
            </w:r>
          </w:p>
        </w:tc>
        <w:tc>
          <w:tcPr>
            <w:tcW w:w="663" w:type="dxa"/>
            <w:tcBorders>
              <w:top w:val="nil"/>
              <w:left w:val="nil"/>
              <w:bottom w:val="single" w:sz="4" w:space="0" w:color="auto"/>
              <w:right w:val="single" w:sz="4" w:space="0" w:color="auto"/>
            </w:tcBorders>
            <w:shd w:val="clear" w:color="auto" w:fill="auto"/>
            <w:noWrap/>
            <w:vAlign w:val="bottom"/>
            <w:hideMark/>
          </w:tcPr>
          <w:p w14:paraId="5E3AD8A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149</w:t>
            </w:r>
          </w:p>
        </w:tc>
        <w:tc>
          <w:tcPr>
            <w:tcW w:w="587" w:type="dxa"/>
            <w:tcBorders>
              <w:top w:val="nil"/>
              <w:left w:val="nil"/>
              <w:bottom w:val="single" w:sz="4" w:space="0" w:color="auto"/>
              <w:right w:val="single" w:sz="4" w:space="0" w:color="auto"/>
            </w:tcBorders>
            <w:shd w:val="clear" w:color="auto" w:fill="auto"/>
            <w:noWrap/>
            <w:vAlign w:val="bottom"/>
            <w:hideMark/>
          </w:tcPr>
          <w:p w14:paraId="1296CD2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44</w:t>
            </w:r>
          </w:p>
        </w:tc>
        <w:tc>
          <w:tcPr>
            <w:tcW w:w="625" w:type="dxa"/>
            <w:tcBorders>
              <w:top w:val="nil"/>
              <w:left w:val="nil"/>
              <w:bottom w:val="single" w:sz="4" w:space="0" w:color="auto"/>
              <w:right w:val="single" w:sz="4" w:space="0" w:color="auto"/>
            </w:tcBorders>
            <w:shd w:val="clear" w:color="auto" w:fill="auto"/>
            <w:noWrap/>
            <w:vAlign w:val="bottom"/>
            <w:hideMark/>
          </w:tcPr>
          <w:p w14:paraId="3E49DB8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26</w:t>
            </w:r>
          </w:p>
        </w:tc>
        <w:tc>
          <w:tcPr>
            <w:tcW w:w="625" w:type="dxa"/>
            <w:tcBorders>
              <w:top w:val="nil"/>
              <w:left w:val="nil"/>
              <w:bottom w:val="single" w:sz="4" w:space="0" w:color="auto"/>
              <w:right w:val="single" w:sz="4" w:space="0" w:color="auto"/>
            </w:tcBorders>
            <w:shd w:val="clear" w:color="auto" w:fill="auto"/>
            <w:noWrap/>
            <w:vAlign w:val="bottom"/>
            <w:hideMark/>
          </w:tcPr>
          <w:p w14:paraId="32780CB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625" w:type="dxa"/>
            <w:tcBorders>
              <w:top w:val="nil"/>
              <w:left w:val="nil"/>
              <w:bottom w:val="single" w:sz="4" w:space="0" w:color="auto"/>
              <w:right w:val="single" w:sz="4" w:space="0" w:color="auto"/>
            </w:tcBorders>
            <w:shd w:val="clear" w:color="auto" w:fill="auto"/>
            <w:noWrap/>
            <w:vAlign w:val="bottom"/>
            <w:hideMark/>
          </w:tcPr>
          <w:p w14:paraId="428C51D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c>
          <w:tcPr>
            <w:tcW w:w="625" w:type="dxa"/>
            <w:tcBorders>
              <w:top w:val="nil"/>
              <w:left w:val="nil"/>
              <w:bottom w:val="single" w:sz="4" w:space="0" w:color="auto"/>
              <w:right w:val="single" w:sz="4" w:space="0" w:color="auto"/>
            </w:tcBorders>
            <w:shd w:val="clear" w:color="auto" w:fill="auto"/>
            <w:noWrap/>
            <w:vAlign w:val="bottom"/>
            <w:hideMark/>
          </w:tcPr>
          <w:p w14:paraId="1C2CC05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w:t>
            </w:r>
          </w:p>
        </w:tc>
      </w:tr>
      <w:tr w:rsidR="00BC3D09" w:rsidRPr="00902009" w14:paraId="2321F8A2"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D29FD6E"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Coleville</w:t>
            </w:r>
          </w:p>
        </w:tc>
        <w:tc>
          <w:tcPr>
            <w:tcW w:w="71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EC477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2.89</w:t>
            </w:r>
          </w:p>
        </w:tc>
        <w:tc>
          <w:tcPr>
            <w:tcW w:w="715" w:type="dxa"/>
            <w:tcBorders>
              <w:top w:val="single" w:sz="4" w:space="0" w:color="auto"/>
              <w:left w:val="single" w:sz="4" w:space="0" w:color="auto"/>
              <w:bottom w:val="single" w:sz="4" w:space="0" w:color="auto"/>
              <w:right w:val="single" w:sz="4" w:space="0" w:color="auto"/>
            </w:tcBorders>
            <w:shd w:val="clear" w:color="000000" w:fill="67C07C"/>
            <w:noWrap/>
            <w:vAlign w:val="bottom"/>
            <w:hideMark/>
          </w:tcPr>
          <w:p w14:paraId="297F812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3.23</w:t>
            </w:r>
          </w:p>
        </w:tc>
        <w:tc>
          <w:tcPr>
            <w:tcW w:w="663" w:type="dxa"/>
            <w:tcBorders>
              <w:top w:val="nil"/>
              <w:left w:val="nil"/>
              <w:bottom w:val="single" w:sz="4" w:space="0" w:color="auto"/>
              <w:right w:val="single" w:sz="4" w:space="0" w:color="auto"/>
            </w:tcBorders>
            <w:shd w:val="clear" w:color="auto" w:fill="auto"/>
            <w:noWrap/>
            <w:vAlign w:val="bottom"/>
            <w:hideMark/>
          </w:tcPr>
          <w:p w14:paraId="1B8A302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171</w:t>
            </w:r>
          </w:p>
        </w:tc>
        <w:tc>
          <w:tcPr>
            <w:tcW w:w="677" w:type="dxa"/>
            <w:tcBorders>
              <w:top w:val="nil"/>
              <w:left w:val="nil"/>
              <w:bottom w:val="single" w:sz="4" w:space="0" w:color="auto"/>
              <w:right w:val="single" w:sz="4" w:space="0" w:color="auto"/>
            </w:tcBorders>
            <w:shd w:val="clear" w:color="auto" w:fill="auto"/>
            <w:noWrap/>
            <w:vAlign w:val="bottom"/>
            <w:hideMark/>
          </w:tcPr>
          <w:p w14:paraId="1F65F52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25</w:t>
            </w:r>
          </w:p>
        </w:tc>
        <w:tc>
          <w:tcPr>
            <w:tcW w:w="663" w:type="dxa"/>
            <w:tcBorders>
              <w:top w:val="nil"/>
              <w:left w:val="nil"/>
              <w:bottom w:val="single" w:sz="4" w:space="0" w:color="auto"/>
              <w:right w:val="single" w:sz="4" w:space="0" w:color="auto"/>
            </w:tcBorders>
            <w:shd w:val="clear" w:color="auto" w:fill="auto"/>
            <w:noWrap/>
            <w:vAlign w:val="bottom"/>
            <w:hideMark/>
          </w:tcPr>
          <w:p w14:paraId="2579A5D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53</w:t>
            </w:r>
          </w:p>
        </w:tc>
        <w:tc>
          <w:tcPr>
            <w:tcW w:w="587" w:type="dxa"/>
            <w:tcBorders>
              <w:top w:val="nil"/>
              <w:left w:val="nil"/>
              <w:bottom w:val="single" w:sz="4" w:space="0" w:color="auto"/>
              <w:right w:val="single" w:sz="4" w:space="0" w:color="auto"/>
            </w:tcBorders>
            <w:shd w:val="clear" w:color="auto" w:fill="auto"/>
            <w:noWrap/>
            <w:vAlign w:val="bottom"/>
            <w:hideMark/>
          </w:tcPr>
          <w:p w14:paraId="46DCF5F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35</w:t>
            </w:r>
          </w:p>
        </w:tc>
        <w:tc>
          <w:tcPr>
            <w:tcW w:w="625" w:type="dxa"/>
            <w:tcBorders>
              <w:top w:val="nil"/>
              <w:left w:val="nil"/>
              <w:bottom w:val="single" w:sz="4" w:space="0" w:color="auto"/>
              <w:right w:val="single" w:sz="4" w:space="0" w:color="auto"/>
            </w:tcBorders>
            <w:shd w:val="clear" w:color="auto" w:fill="auto"/>
            <w:noWrap/>
            <w:vAlign w:val="bottom"/>
            <w:hideMark/>
          </w:tcPr>
          <w:p w14:paraId="25D3CC2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36</w:t>
            </w:r>
          </w:p>
        </w:tc>
        <w:tc>
          <w:tcPr>
            <w:tcW w:w="625" w:type="dxa"/>
            <w:tcBorders>
              <w:top w:val="nil"/>
              <w:left w:val="nil"/>
              <w:bottom w:val="single" w:sz="4" w:space="0" w:color="auto"/>
              <w:right w:val="single" w:sz="4" w:space="0" w:color="auto"/>
            </w:tcBorders>
            <w:shd w:val="clear" w:color="auto" w:fill="auto"/>
            <w:noWrap/>
            <w:vAlign w:val="bottom"/>
            <w:hideMark/>
          </w:tcPr>
          <w:p w14:paraId="494CF24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20</w:t>
            </w:r>
          </w:p>
        </w:tc>
        <w:tc>
          <w:tcPr>
            <w:tcW w:w="625" w:type="dxa"/>
            <w:tcBorders>
              <w:top w:val="nil"/>
              <w:left w:val="nil"/>
              <w:bottom w:val="single" w:sz="4" w:space="0" w:color="auto"/>
              <w:right w:val="single" w:sz="4" w:space="0" w:color="auto"/>
            </w:tcBorders>
            <w:shd w:val="clear" w:color="auto" w:fill="auto"/>
            <w:noWrap/>
            <w:vAlign w:val="bottom"/>
            <w:hideMark/>
          </w:tcPr>
          <w:p w14:paraId="27F85BE6"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c>
          <w:tcPr>
            <w:tcW w:w="625" w:type="dxa"/>
            <w:tcBorders>
              <w:top w:val="nil"/>
              <w:left w:val="nil"/>
              <w:bottom w:val="single" w:sz="4" w:space="0" w:color="auto"/>
              <w:right w:val="single" w:sz="4" w:space="0" w:color="auto"/>
            </w:tcBorders>
            <w:shd w:val="clear" w:color="auto" w:fill="auto"/>
            <w:noWrap/>
            <w:vAlign w:val="bottom"/>
            <w:hideMark/>
          </w:tcPr>
          <w:p w14:paraId="7DEA5DEB"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w:t>
            </w:r>
          </w:p>
        </w:tc>
      </w:tr>
      <w:tr w:rsidR="00BC3D09" w:rsidRPr="00902009" w14:paraId="2F746FC2"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94C26DB"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Topaz</w:t>
            </w:r>
          </w:p>
        </w:tc>
        <w:tc>
          <w:tcPr>
            <w:tcW w:w="715" w:type="dxa"/>
            <w:tcBorders>
              <w:top w:val="single" w:sz="4" w:space="0" w:color="auto"/>
              <w:left w:val="single" w:sz="4" w:space="0" w:color="auto"/>
              <w:bottom w:val="single" w:sz="4" w:space="0" w:color="auto"/>
              <w:right w:val="single" w:sz="4" w:space="0" w:color="auto"/>
            </w:tcBorders>
            <w:shd w:val="clear" w:color="000000" w:fill="B8D98D"/>
            <w:noWrap/>
            <w:vAlign w:val="bottom"/>
            <w:hideMark/>
          </w:tcPr>
          <w:p w14:paraId="297B8EC1"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2.38</w:t>
            </w:r>
          </w:p>
        </w:tc>
        <w:tc>
          <w:tcPr>
            <w:tcW w:w="715" w:type="dxa"/>
            <w:tcBorders>
              <w:top w:val="single" w:sz="4" w:space="0" w:color="auto"/>
              <w:left w:val="single" w:sz="4" w:space="0" w:color="auto"/>
              <w:bottom w:val="single" w:sz="4" w:space="0" w:color="auto"/>
              <w:right w:val="single" w:sz="4" w:space="0" w:color="auto"/>
            </w:tcBorders>
            <w:shd w:val="clear" w:color="000000" w:fill="85C983"/>
            <w:noWrap/>
            <w:vAlign w:val="bottom"/>
            <w:hideMark/>
          </w:tcPr>
          <w:p w14:paraId="04204AD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3.08</w:t>
            </w:r>
          </w:p>
        </w:tc>
        <w:tc>
          <w:tcPr>
            <w:tcW w:w="663" w:type="dxa"/>
            <w:tcBorders>
              <w:top w:val="nil"/>
              <w:left w:val="nil"/>
              <w:bottom w:val="single" w:sz="4" w:space="0" w:color="auto"/>
              <w:right w:val="single" w:sz="4" w:space="0" w:color="auto"/>
            </w:tcBorders>
            <w:shd w:val="clear" w:color="auto" w:fill="auto"/>
            <w:noWrap/>
            <w:vAlign w:val="bottom"/>
            <w:hideMark/>
          </w:tcPr>
          <w:p w14:paraId="65E50EC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21</w:t>
            </w:r>
          </w:p>
        </w:tc>
        <w:tc>
          <w:tcPr>
            <w:tcW w:w="677" w:type="dxa"/>
            <w:tcBorders>
              <w:top w:val="nil"/>
              <w:left w:val="nil"/>
              <w:bottom w:val="single" w:sz="4" w:space="0" w:color="auto"/>
              <w:right w:val="single" w:sz="4" w:space="0" w:color="auto"/>
            </w:tcBorders>
            <w:shd w:val="clear" w:color="auto" w:fill="auto"/>
            <w:noWrap/>
            <w:vAlign w:val="bottom"/>
            <w:hideMark/>
          </w:tcPr>
          <w:p w14:paraId="1F75946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w:t>
            </w:r>
          </w:p>
        </w:tc>
        <w:tc>
          <w:tcPr>
            <w:tcW w:w="663" w:type="dxa"/>
            <w:tcBorders>
              <w:top w:val="nil"/>
              <w:left w:val="nil"/>
              <w:bottom w:val="single" w:sz="4" w:space="0" w:color="auto"/>
              <w:right w:val="single" w:sz="4" w:space="0" w:color="auto"/>
            </w:tcBorders>
            <w:shd w:val="clear" w:color="auto" w:fill="auto"/>
            <w:noWrap/>
            <w:vAlign w:val="bottom"/>
            <w:hideMark/>
          </w:tcPr>
          <w:p w14:paraId="7CCA392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w:t>
            </w:r>
          </w:p>
        </w:tc>
        <w:tc>
          <w:tcPr>
            <w:tcW w:w="587" w:type="dxa"/>
            <w:tcBorders>
              <w:top w:val="nil"/>
              <w:left w:val="nil"/>
              <w:bottom w:val="single" w:sz="4" w:space="0" w:color="auto"/>
              <w:right w:val="single" w:sz="4" w:space="0" w:color="auto"/>
            </w:tcBorders>
            <w:shd w:val="clear" w:color="auto" w:fill="auto"/>
            <w:noWrap/>
            <w:vAlign w:val="bottom"/>
            <w:hideMark/>
          </w:tcPr>
          <w:p w14:paraId="74FEBCC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14:paraId="6B9CAF4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14:paraId="74FDFFCD"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c>
          <w:tcPr>
            <w:tcW w:w="625" w:type="dxa"/>
            <w:tcBorders>
              <w:top w:val="nil"/>
              <w:left w:val="nil"/>
              <w:bottom w:val="single" w:sz="4" w:space="0" w:color="auto"/>
              <w:right w:val="single" w:sz="4" w:space="0" w:color="auto"/>
            </w:tcBorders>
            <w:shd w:val="clear" w:color="auto" w:fill="auto"/>
            <w:noWrap/>
            <w:vAlign w:val="bottom"/>
            <w:hideMark/>
          </w:tcPr>
          <w:p w14:paraId="4F4B4BC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w:t>
            </w:r>
          </w:p>
        </w:tc>
        <w:tc>
          <w:tcPr>
            <w:tcW w:w="625" w:type="dxa"/>
            <w:tcBorders>
              <w:top w:val="nil"/>
              <w:left w:val="nil"/>
              <w:bottom w:val="single" w:sz="4" w:space="0" w:color="auto"/>
              <w:right w:val="single" w:sz="4" w:space="0" w:color="auto"/>
            </w:tcBorders>
            <w:shd w:val="clear" w:color="auto" w:fill="auto"/>
            <w:noWrap/>
            <w:vAlign w:val="bottom"/>
            <w:hideMark/>
          </w:tcPr>
          <w:p w14:paraId="16A76904"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0</w:t>
            </w:r>
          </w:p>
        </w:tc>
      </w:tr>
      <w:tr w:rsidR="00BC3D09" w:rsidRPr="00902009" w14:paraId="7BF4A5EA"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0F02CE3"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14:paraId="38F6B7E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nil"/>
            </w:tcBorders>
            <w:shd w:val="clear" w:color="auto" w:fill="auto"/>
            <w:noWrap/>
            <w:vAlign w:val="bottom"/>
            <w:hideMark/>
          </w:tcPr>
          <w:p w14:paraId="6BFA4F5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14:paraId="7CC3AE4C"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77" w:type="dxa"/>
            <w:tcBorders>
              <w:top w:val="nil"/>
              <w:left w:val="nil"/>
              <w:bottom w:val="single" w:sz="4" w:space="0" w:color="auto"/>
              <w:right w:val="nil"/>
            </w:tcBorders>
            <w:shd w:val="clear" w:color="auto" w:fill="auto"/>
            <w:noWrap/>
            <w:vAlign w:val="bottom"/>
            <w:hideMark/>
          </w:tcPr>
          <w:p w14:paraId="7A02A23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nil"/>
            </w:tcBorders>
            <w:shd w:val="clear" w:color="auto" w:fill="auto"/>
            <w:noWrap/>
            <w:vAlign w:val="bottom"/>
            <w:hideMark/>
          </w:tcPr>
          <w:p w14:paraId="521583D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587" w:type="dxa"/>
            <w:tcBorders>
              <w:top w:val="nil"/>
              <w:left w:val="nil"/>
              <w:bottom w:val="single" w:sz="4" w:space="0" w:color="auto"/>
              <w:right w:val="nil"/>
            </w:tcBorders>
            <w:shd w:val="clear" w:color="auto" w:fill="auto"/>
            <w:noWrap/>
            <w:vAlign w:val="bottom"/>
            <w:hideMark/>
          </w:tcPr>
          <w:p w14:paraId="1E6F14E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26811D2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424784E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4CC387A9"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25" w:type="dxa"/>
            <w:tcBorders>
              <w:top w:val="nil"/>
              <w:left w:val="nil"/>
              <w:bottom w:val="single" w:sz="4" w:space="0" w:color="auto"/>
              <w:right w:val="nil"/>
            </w:tcBorders>
            <w:shd w:val="clear" w:color="auto" w:fill="auto"/>
            <w:noWrap/>
            <w:vAlign w:val="bottom"/>
            <w:hideMark/>
          </w:tcPr>
          <w:p w14:paraId="04383923"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r>
      <w:tr w:rsidR="00BC3D09" w:rsidRPr="00902009" w14:paraId="4E7A3962" w14:textId="77777777" w:rsidTr="00BC3D09">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38DF6AB" w14:textId="77777777" w:rsidR="00BC3D09" w:rsidRPr="00902009" w:rsidRDefault="00BC3D09" w:rsidP="00BC3D09">
            <w:pPr>
              <w:spacing w:after="0" w:line="240" w:lineRule="auto"/>
              <w:rPr>
                <w:rFonts w:eastAsia="Times New Roman" w:cs="Times New Roman"/>
                <w:color w:val="000000"/>
              </w:rPr>
            </w:pPr>
            <w:r w:rsidRPr="00902009">
              <w:rPr>
                <w:rFonts w:eastAsia="Times New Roman" w:cs="Times New Roman"/>
                <w:color w:val="000000"/>
              </w:rPr>
              <w:t>Total of CDPs</w:t>
            </w:r>
          </w:p>
        </w:tc>
        <w:tc>
          <w:tcPr>
            <w:tcW w:w="715" w:type="dxa"/>
            <w:tcBorders>
              <w:top w:val="nil"/>
              <w:left w:val="nil"/>
              <w:bottom w:val="single" w:sz="4" w:space="0" w:color="auto"/>
              <w:right w:val="single" w:sz="4" w:space="0" w:color="auto"/>
            </w:tcBorders>
            <w:shd w:val="clear" w:color="auto" w:fill="auto"/>
            <w:noWrap/>
            <w:vAlign w:val="bottom"/>
            <w:hideMark/>
          </w:tcPr>
          <w:p w14:paraId="283CF748"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14:paraId="45E7540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 </w:t>
            </w:r>
          </w:p>
        </w:tc>
        <w:tc>
          <w:tcPr>
            <w:tcW w:w="663" w:type="dxa"/>
            <w:tcBorders>
              <w:top w:val="nil"/>
              <w:left w:val="nil"/>
              <w:bottom w:val="single" w:sz="4" w:space="0" w:color="auto"/>
              <w:right w:val="single" w:sz="4" w:space="0" w:color="auto"/>
            </w:tcBorders>
            <w:shd w:val="clear" w:color="auto" w:fill="auto"/>
            <w:noWrap/>
            <w:vAlign w:val="bottom"/>
            <w:hideMark/>
          </w:tcPr>
          <w:p w14:paraId="56908130"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2278</w:t>
            </w:r>
          </w:p>
        </w:tc>
        <w:tc>
          <w:tcPr>
            <w:tcW w:w="677" w:type="dxa"/>
            <w:tcBorders>
              <w:top w:val="nil"/>
              <w:left w:val="nil"/>
              <w:bottom w:val="single" w:sz="4" w:space="0" w:color="auto"/>
              <w:right w:val="single" w:sz="4" w:space="0" w:color="auto"/>
            </w:tcBorders>
            <w:shd w:val="clear" w:color="auto" w:fill="auto"/>
            <w:noWrap/>
            <w:vAlign w:val="bottom"/>
            <w:hideMark/>
          </w:tcPr>
          <w:p w14:paraId="00B9020E"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625</w:t>
            </w:r>
          </w:p>
        </w:tc>
        <w:tc>
          <w:tcPr>
            <w:tcW w:w="663" w:type="dxa"/>
            <w:tcBorders>
              <w:top w:val="nil"/>
              <w:left w:val="nil"/>
              <w:bottom w:val="single" w:sz="4" w:space="0" w:color="auto"/>
              <w:right w:val="single" w:sz="4" w:space="0" w:color="auto"/>
            </w:tcBorders>
            <w:shd w:val="clear" w:color="auto" w:fill="auto"/>
            <w:noWrap/>
            <w:vAlign w:val="bottom"/>
            <w:hideMark/>
          </w:tcPr>
          <w:p w14:paraId="549090FA"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915</w:t>
            </w:r>
          </w:p>
        </w:tc>
        <w:tc>
          <w:tcPr>
            <w:tcW w:w="587" w:type="dxa"/>
            <w:tcBorders>
              <w:top w:val="nil"/>
              <w:left w:val="nil"/>
              <w:bottom w:val="single" w:sz="4" w:space="0" w:color="auto"/>
              <w:right w:val="single" w:sz="4" w:space="0" w:color="auto"/>
            </w:tcBorders>
            <w:shd w:val="clear" w:color="auto" w:fill="auto"/>
            <w:noWrap/>
            <w:vAlign w:val="bottom"/>
            <w:hideMark/>
          </w:tcPr>
          <w:p w14:paraId="4916A20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343</w:t>
            </w:r>
          </w:p>
        </w:tc>
        <w:tc>
          <w:tcPr>
            <w:tcW w:w="625" w:type="dxa"/>
            <w:tcBorders>
              <w:top w:val="nil"/>
              <w:left w:val="nil"/>
              <w:bottom w:val="single" w:sz="4" w:space="0" w:color="auto"/>
              <w:right w:val="single" w:sz="4" w:space="0" w:color="auto"/>
            </w:tcBorders>
            <w:shd w:val="clear" w:color="auto" w:fill="auto"/>
            <w:noWrap/>
            <w:vAlign w:val="bottom"/>
            <w:hideMark/>
          </w:tcPr>
          <w:p w14:paraId="04520E35"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242</w:t>
            </w:r>
          </w:p>
        </w:tc>
        <w:tc>
          <w:tcPr>
            <w:tcW w:w="625" w:type="dxa"/>
            <w:tcBorders>
              <w:top w:val="nil"/>
              <w:left w:val="nil"/>
              <w:bottom w:val="single" w:sz="4" w:space="0" w:color="auto"/>
              <w:right w:val="single" w:sz="4" w:space="0" w:color="auto"/>
            </w:tcBorders>
            <w:shd w:val="clear" w:color="auto" w:fill="auto"/>
            <w:noWrap/>
            <w:vAlign w:val="bottom"/>
            <w:hideMark/>
          </w:tcPr>
          <w:p w14:paraId="5AF7B4CF"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100</w:t>
            </w:r>
          </w:p>
        </w:tc>
        <w:tc>
          <w:tcPr>
            <w:tcW w:w="625" w:type="dxa"/>
            <w:tcBorders>
              <w:top w:val="nil"/>
              <w:left w:val="nil"/>
              <w:bottom w:val="single" w:sz="4" w:space="0" w:color="auto"/>
              <w:right w:val="single" w:sz="4" w:space="0" w:color="auto"/>
            </w:tcBorders>
            <w:shd w:val="clear" w:color="auto" w:fill="auto"/>
            <w:noWrap/>
            <w:vAlign w:val="bottom"/>
            <w:hideMark/>
          </w:tcPr>
          <w:p w14:paraId="6BE053D2"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34</w:t>
            </w:r>
          </w:p>
        </w:tc>
        <w:tc>
          <w:tcPr>
            <w:tcW w:w="625" w:type="dxa"/>
            <w:tcBorders>
              <w:top w:val="nil"/>
              <w:left w:val="nil"/>
              <w:bottom w:val="single" w:sz="4" w:space="0" w:color="auto"/>
              <w:right w:val="single" w:sz="4" w:space="0" w:color="auto"/>
            </w:tcBorders>
            <w:shd w:val="clear" w:color="auto" w:fill="auto"/>
            <w:noWrap/>
            <w:vAlign w:val="bottom"/>
            <w:hideMark/>
          </w:tcPr>
          <w:p w14:paraId="17FC8B57" w14:textId="77777777" w:rsidR="00BC3D09" w:rsidRPr="00902009" w:rsidRDefault="00BC3D09" w:rsidP="00BC3D09">
            <w:pPr>
              <w:spacing w:after="0" w:line="240" w:lineRule="auto"/>
              <w:jc w:val="center"/>
              <w:rPr>
                <w:rFonts w:eastAsia="Times New Roman" w:cs="Times New Roman"/>
                <w:color w:val="000000"/>
              </w:rPr>
            </w:pPr>
            <w:r w:rsidRPr="00902009">
              <w:rPr>
                <w:rFonts w:eastAsia="Times New Roman" w:cs="Times New Roman"/>
                <w:color w:val="000000"/>
              </w:rPr>
              <w:t>19</w:t>
            </w:r>
          </w:p>
        </w:tc>
      </w:tr>
    </w:tbl>
    <w:p w14:paraId="41F847F5" w14:textId="77777777" w:rsidR="00BC3D09" w:rsidRPr="00902009" w:rsidRDefault="00BC3D09" w:rsidP="00BC3D09">
      <w:r w:rsidRPr="00902009">
        <w:t>Source US Census 2010</w:t>
      </w:r>
    </w:p>
    <w:p w14:paraId="6CED564C" w14:textId="77777777" w:rsidR="00226DAA" w:rsidRDefault="00226DAA" w:rsidP="00226DAA">
      <w:pPr>
        <w:spacing w:after="0" w:line="280" w:lineRule="atLeast"/>
        <w:jc w:val="both"/>
        <w:rPr>
          <w:b/>
        </w:rPr>
      </w:pPr>
    </w:p>
    <w:p w14:paraId="681488B5" w14:textId="77777777" w:rsidR="00226DAA" w:rsidRPr="00226DAA" w:rsidRDefault="002E1FEA" w:rsidP="00EF449A">
      <w:pPr>
        <w:pStyle w:val="Heading3"/>
      </w:pPr>
      <w:bookmarkStart w:id="113" w:name="_Toc383700013"/>
      <w:r>
        <w:t xml:space="preserve">d. </w:t>
      </w:r>
      <w:r w:rsidR="00226DAA" w:rsidRPr="00226DAA">
        <w:t>FARMWORKERS</w:t>
      </w:r>
      <w:bookmarkEnd w:id="113"/>
      <w:r w:rsidR="00226DAA" w:rsidRPr="00226DAA">
        <w:fldChar w:fldCharType="begin"/>
      </w:r>
      <w:r w:rsidR="00226DAA" w:rsidRPr="00226DAA">
        <w:instrText xml:space="preserve"> TC"</w:instrText>
      </w:r>
      <w:bookmarkStart w:id="114" w:name="_Toc53806447"/>
      <w:bookmarkStart w:id="115" w:name="_Toc66156039"/>
      <w:bookmarkStart w:id="116" w:name="_Toc76443959"/>
      <w:bookmarkStart w:id="117" w:name="_Toc123887107"/>
      <w:r w:rsidR="00226DAA" w:rsidRPr="00226DAA">
        <w:instrText>Farmworkers</w:instrText>
      </w:r>
      <w:bookmarkEnd w:id="114"/>
      <w:bookmarkEnd w:id="115"/>
      <w:bookmarkEnd w:id="116"/>
      <w:bookmarkEnd w:id="117"/>
      <w:r w:rsidR="00226DAA" w:rsidRPr="00226DAA">
        <w:instrText>"\l 3</w:instrText>
      </w:r>
      <w:r w:rsidR="00226DAA" w:rsidRPr="00226DAA">
        <w:fldChar w:fldCharType="end"/>
      </w:r>
    </w:p>
    <w:p w14:paraId="76CD858E" w14:textId="77777777" w:rsidR="00226DAA" w:rsidRPr="00226DAA" w:rsidRDefault="00226DAA" w:rsidP="00226DAA">
      <w:pPr>
        <w:spacing w:after="0" w:line="280" w:lineRule="atLeast"/>
        <w:jc w:val="both"/>
      </w:pPr>
      <w:r w:rsidRPr="00226DAA">
        <w:t xml:space="preserve">While the acreage in farms in Mono County declined between 1997 and 2007, from 68,813 acres to 44,610 acres, the number of farms increased from 63 to 84. The average size of farms decreased from 1,092 acres to 531 acres; hired farm labor decreased from 121 farmworkers on 26 farms to an undisclosed number of workers on 22 farms (Table 20 and USDA, 1997 and 2007 Census of Agriculture). Much of the census information on the number of workers is undisclosed, making it difficult to estimate the total number of farmworkers in the County.  The census does indicate that 7 farms with 25 workers reported only permanent workers, 11 farms with 39 workers reported only seasonal workers, and 4 farms with an undisclosed number of workers reported utilizing both permanent and seasonal workers.  Due to federal funding limitations, an updated Census of Agriculture has not been released.  </w:t>
      </w:r>
    </w:p>
    <w:p w14:paraId="458997D0" w14:textId="77777777" w:rsidR="00226DAA" w:rsidRPr="00226DAA" w:rsidRDefault="00226DAA" w:rsidP="00226DAA">
      <w:pPr>
        <w:spacing w:after="0" w:line="280" w:lineRule="atLeast"/>
        <w:jc w:val="both"/>
      </w:pPr>
      <w:r w:rsidRPr="00226DAA">
        <w:t>Large farm owners and ranchers in the Antelope, Bridgeport and Hammil valleys hire a limited number of farmworkers and ranch hands. Housing for most of these employees is provided on site. If this type of housing were to be eliminated, it would be difficult for farm laborers to find adequate affordable housing. The 2010 Census indicates that when the census was taken, , there were 17 vacant units categorized as “migratory”. This does not indicate how many total units were available for farmworkers.</w:t>
      </w:r>
    </w:p>
    <w:p w14:paraId="4A91F0E3" w14:textId="77777777" w:rsidR="00226DAA" w:rsidRPr="00226DAA" w:rsidRDefault="00226DAA" w:rsidP="00226DAA">
      <w:pPr>
        <w:spacing w:after="0" w:line="280" w:lineRule="atLeast"/>
        <w:jc w:val="both"/>
      </w:pPr>
    </w:p>
    <w:p w14:paraId="5BD304A3" w14:textId="77777777" w:rsidR="000064BC" w:rsidRPr="00B42807" w:rsidRDefault="000064BC" w:rsidP="000064BC">
      <w:r w:rsidRPr="00B42807">
        <w:t>Table 20, Number of Farmworkers (2007) Mono County</w:t>
      </w:r>
    </w:p>
    <w:tbl>
      <w:tblPr>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7"/>
        <w:gridCol w:w="720"/>
        <w:gridCol w:w="5333"/>
      </w:tblGrid>
      <w:tr w:rsidR="000064BC" w:rsidRPr="00B42807" w14:paraId="60D10238" w14:textId="77777777" w:rsidTr="000064BC">
        <w:tc>
          <w:tcPr>
            <w:tcW w:w="8460" w:type="dxa"/>
            <w:gridSpan w:val="3"/>
            <w:shd w:val="clear" w:color="auto" w:fill="E6E6E6"/>
          </w:tcPr>
          <w:p w14:paraId="4965C8B1" w14:textId="77777777" w:rsidR="000064BC" w:rsidRPr="00B42807" w:rsidRDefault="000064BC" w:rsidP="000064BC">
            <w:pPr>
              <w:spacing w:line="280" w:lineRule="atLeast"/>
              <w:jc w:val="both"/>
              <w:rPr>
                <w:b/>
              </w:rPr>
            </w:pPr>
            <w:r w:rsidRPr="00B42807">
              <w:rPr>
                <w:b/>
              </w:rPr>
              <w:t>Hired Farm Labor</w:t>
            </w:r>
          </w:p>
        </w:tc>
      </w:tr>
      <w:tr w:rsidR="000064BC" w:rsidRPr="00B42807" w14:paraId="69BDC448" w14:textId="77777777" w:rsidTr="000064BC">
        <w:trPr>
          <w:gridAfter w:val="1"/>
          <w:wAfter w:w="5333" w:type="dxa"/>
        </w:trPr>
        <w:tc>
          <w:tcPr>
            <w:tcW w:w="2407" w:type="dxa"/>
          </w:tcPr>
          <w:p w14:paraId="4D4F08F7" w14:textId="77777777" w:rsidR="000064BC" w:rsidRPr="00B42807" w:rsidRDefault="000064BC" w:rsidP="000064BC">
            <w:pPr>
              <w:spacing w:line="280" w:lineRule="atLeast"/>
            </w:pPr>
            <w:r w:rsidRPr="00B42807">
              <w:t>Farms</w:t>
            </w:r>
          </w:p>
        </w:tc>
        <w:tc>
          <w:tcPr>
            <w:tcW w:w="720" w:type="dxa"/>
          </w:tcPr>
          <w:p w14:paraId="6C17D7C6" w14:textId="77777777" w:rsidR="000064BC" w:rsidRPr="00B42807" w:rsidRDefault="000064BC" w:rsidP="000064BC">
            <w:pPr>
              <w:spacing w:line="280" w:lineRule="atLeast"/>
            </w:pPr>
            <w:r w:rsidRPr="00B42807">
              <w:t>22</w:t>
            </w:r>
          </w:p>
        </w:tc>
      </w:tr>
      <w:tr w:rsidR="000064BC" w:rsidRPr="00B42807" w14:paraId="546D3173" w14:textId="77777777" w:rsidTr="000064BC">
        <w:trPr>
          <w:gridAfter w:val="1"/>
          <w:wAfter w:w="5333" w:type="dxa"/>
        </w:trPr>
        <w:tc>
          <w:tcPr>
            <w:tcW w:w="2407" w:type="dxa"/>
            <w:tcBorders>
              <w:bottom w:val="single" w:sz="4" w:space="0" w:color="auto"/>
            </w:tcBorders>
          </w:tcPr>
          <w:p w14:paraId="301FFA04" w14:textId="77777777" w:rsidR="000064BC" w:rsidRPr="00B42807" w:rsidRDefault="000064BC" w:rsidP="000064BC">
            <w:pPr>
              <w:spacing w:line="280" w:lineRule="atLeast"/>
            </w:pPr>
            <w:r w:rsidRPr="00B42807">
              <w:t>Workers</w:t>
            </w:r>
          </w:p>
        </w:tc>
        <w:tc>
          <w:tcPr>
            <w:tcW w:w="720" w:type="dxa"/>
            <w:tcBorders>
              <w:bottom w:val="single" w:sz="4" w:space="0" w:color="auto"/>
            </w:tcBorders>
          </w:tcPr>
          <w:p w14:paraId="55C72898" w14:textId="77777777" w:rsidR="000064BC" w:rsidRPr="00B42807" w:rsidRDefault="000064BC" w:rsidP="000064BC">
            <w:pPr>
              <w:spacing w:line="280" w:lineRule="atLeast"/>
            </w:pPr>
            <w:r w:rsidRPr="00B42807">
              <w:t>(D)</w:t>
            </w:r>
          </w:p>
        </w:tc>
      </w:tr>
      <w:tr w:rsidR="000064BC" w:rsidRPr="00B42807" w14:paraId="62D93067" w14:textId="77777777" w:rsidTr="000064BC">
        <w:tc>
          <w:tcPr>
            <w:tcW w:w="8460" w:type="dxa"/>
            <w:gridSpan w:val="3"/>
            <w:shd w:val="clear" w:color="auto" w:fill="E6E6E6"/>
          </w:tcPr>
          <w:p w14:paraId="7C0EE7A2" w14:textId="77777777" w:rsidR="000064BC" w:rsidRPr="00B42807" w:rsidRDefault="000064BC" w:rsidP="000064BC">
            <w:pPr>
              <w:spacing w:line="280" w:lineRule="atLeast"/>
              <w:rPr>
                <w:b/>
              </w:rPr>
            </w:pPr>
            <w:r w:rsidRPr="00B42807">
              <w:rPr>
                <w:b/>
              </w:rPr>
              <w:t>Farms with 10 Workers or More</w:t>
            </w:r>
          </w:p>
        </w:tc>
      </w:tr>
      <w:tr w:rsidR="000064BC" w:rsidRPr="00B42807" w14:paraId="02C7AB4F" w14:textId="77777777" w:rsidTr="000064BC">
        <w:trPr>
          <w:gridAfter w:val="1"/>
          <w:wAfter w:w="5333" w:type="dxa"/>
        </w:trPr>
        <w:tc>
          <w:tcPr>
            <w:tcW w:w="2407" w:type="dxa"/>
          </w:tcPr>
          <w:p w14:paraId="4122D7AE" w14:textId="77777777" w:rsidR="000064BC" w:rsidRPr="00B42807" w:rsidRDefault="000064BC" w:rsidP="000064BC">
            <w:pPr>
              <w:spacing w:line="280" w:lineRule="atLeast"/>
            </w:pPr>
            <w:r w:rsidRPr="00B42807">
              <w:t>Farms</w:t>
            </w:r>
          </w:p>
        </w:tc>
        <w:tc>
          <w:tcPr>
            <w:tcW w:w="720" w:type="dxa"/>
          </w:tcPr>
          <w:p w14:paraId="70B8F624" w14:textId="77777777" w:rsidR="000064BC" w:rsidRPr="00B42807" w:rsidRDefault="000064BC" w:rsidP="000064BC">
            <w:pPr>
              <w:spacing w:line="280" w:lineRule="atLeast"/>
            </w:pPr>
            <w:r w:rsidRPr="00B42807">
              <w:t>3</w:t>
            </w:r>
          </w:p>
        </w:tc>
      </w:tr>
      <w:tr w:rsidR="000064BC" w:rsidRPr="00B42807" w14:paraId="17DE8C04" w14:textId="77777777" w:rsidTr="000064BC">
        <w:trPr>
          <w:gridAfter w:val="1"/>
          <w:wAfter w:w="5333" w:type="dxa"/>
        </w:trPr>
        <w:tc>
          <w:tcPr>
            <w:tcW w:w="2407" w:type="dxa"/>
          </w:tcPr>
          <w:p w14:paraId="41039C4A" w14:textId="77777777" w:rsidR="000064BC" w:rsidRPr="00B42807" w:rsidRDefault="000064BC" w:rsidP="000064BC">
            <w:pPr>
              <w:spacing w:line="280" w:lineRule="atLeast"/>
            </w:pPr>
            <w:r w:rsidRPr="00B42807">
              <w:t>Workers</w:t>
            </w:r>
          </w:p>
        </w:tc>
        <w:tc>
          <w:tcPr>
            <w:tcW w:w="720" w:type="dxa"/>
          </w:tcPr>
          <w:p w14:paraId="428F8B44" w14:textId="77777777" w:rsidR="000064BC" w:rsidRPr="00B42807" w:rsidRDefault="000064BC" w:rsidP="000064BC">
            <w:pPr>
              <w:spacing w:line="280" w:lineRule="atLeast"/>
            </w:pPr>
            <w:r w:rsidRPr="00B42807">
              <w:t>38</w:t>
            </w:r>
          </w:p>
        </w:tc>
      </w:tr>
      <w:tr w:rsidR="000064BC" w:rsidRPr="00B42807" w14:paraId="7FA8B8FA" w14:textId="77777777" w:rsidTr="000064BC">
        <w:trPr>
          <w:trHeight w:val="305"/>
        </w:trPr>
        <w:tc>
          <w:tcPr>
            <w:tcW w:w="8460" w:type="dxa"/>
            <w:gridSpan w:val="3"/>
            <w:tcBorders>
              <w:top w:val="nil"/>
              <w:left w:val="nil"/>
              <w:bottom w:val="nil"/>
              <w:right w:val="nil"/>
            </w:tcBorders>
          </w:tcPr>
          <w:p w14:paraId="4FAE46E6" w14:textId="77777777" w:rsidR="00D50649" w:rsidRPr="00776763" w:rsidRDefault="00D50649" w:rsidP="000064BC">
            <w:pPr>
              <w:spacing w:line="280" w:lineRule="atLeast"/>
              <w:rPr>
                <w:i/>
              </w:rPr>
            </w:pPr>
            <w:r w:rsidRPr="00776763">
              <w:rPr>
                <w:i/>
              </w:rPr>
              <w:t xml:space="preserve">(D) indicates data withheld to avoid disclosing data for individual farms. </w:t>
            </w:r>
          </w:p>
          <w:p w14:paraId="6BE2D066" w14:textId="77777777" w:rsidR="000064BC" w:rsidRPr="00B42807" w:rsidRDefault="000064BC" w:rsidP="000064BC">
            <w:pPr>
              <w:spacing w:line="280" w:lineRule="atLeast"/>
              <w:rPr>
                <w:i/>
              </w:rPr>
            </w:pPr>
            <w:r w:rsidRPr="00B42807">
              <w:rPr>
                <w:i/>
              </w:rPr>
              <w:t>Source: USDA 2007 Census of Farmworkers.</w:t>
            </w:r>
          </w:p>
          <w:p w14:paraId="7761DA01" w14:textId="77777777" w:rsidR="000064BC" w:rsidRPr="00B42807" w:rsidRDefault="000064BC" w:rsidP="000064BC">
            <w:pPr>
              <w:spacing w:line="280" w:lineRule="atLeast"/>
            </w:pPr>
          </w:p>
          <w:p w14:paraId="7FF5496D" w14:textId="77777777" w:rsidR="000064BC" w:rsidRPr="00B42807" w:rsidRDefault="000064BC" w:rsidP="000064BC">
            <w:pPr>
              <w:spacing w:line="280" w:lineRule="atLeast"/>
            </w:pPr>
          </w:p>
          <w:p w14:paraId="000EDE8D" w14:textId="77777777" w:rsidR="000064BC" w:rsidRPr="00B42807" w:rsidRDefault="000064BC" w:rsidP="000064BC">
            <w:pPr>
              <w:shd w:val="clear" w:color="auto" w:fill="CC99FF"/>
              <w:spacing w:after="60" w:line="280" w:lineRule="atLeast"/>
              <w:rPr>
                <w:b/>
              </w:rPr>
            </w:pPr>
            <w:r w:rsidRPr="00B42807">
              <w:rPr>
                <w:b/>
              </w:rPr>
              <w:t>Table 21</w:t>
            </w:r>
            <w:r w:rsidRPr="00B42807">
              <w:rPr>
                <w:b/>
              </w:rPr>
              <w:tab/>
              <w:t>Farmworkers by Days Worked (2007) – Mono County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6"/>
              <w:gridCol w:w="1189"/>
              <w:gridCol w:w="3568"/>
              <w:gridCol w:w="819"/>
            </w:tblGrid>
            <w:tr w:rsidR="000064BC" w:rsidRPr="00B42807" w14:paraId="22BE3F3D" w14:textId="77777777" w:rsidTr="000064BC">
              <w:trPr>
                <w:trHeight w:val="448"/>
              </w:trPr>
              <w:tc>
                <w:tcPr>
                  <w:tcW w:w="7062" w:type="dxa"/>
                  <w:gridSpan w:val="4"/>
                  <w:shd w:val="clear" w:color="auto" w:fill="E6E6E6"/>
                </w:tcPr>
                <w:p w14:paraId="557C75C1" w14:textId="77777777" w:rsidR="000064BC" w:rsidRPr="00B42807" w:rsidRDefault="000064BC" w:rsidP="000064BC">
                  <w:pPr>
                    <w:spacing w:line="280" w:lineRule="atLeast"/>
                    <w:rPr>
                      <w:b/>
                    </w:rPr>
                  </w:pPr>
                  <w:r w:rsidRPr="00B42807">
                    <w:rPr>
                      <w:b/>
                    </w:rPr>
                    <w:t>150 Days or More (i.e., Permanent farmworkers)</w:t>
                  </w:r>
                </w:p>
              </w:tc>
            </w:tr>
            <w:tr w:rsidR="000064BC" w:rsidRPr="00B42807" w14:paraId="7242C5DF" w14:textId="77777777" w:rsidTr="000064BC">
              <w:trPr>
                <w:trHeight w:val="448"/>
              </w:trPr>
              <w:tc>
                <w:tcPr>
                  <w:tcW w:w="1486" w:type="dxa"/>
                </w:tcPr>
                <w:p w14:paraId="778CCB44" w14:textId="77777777" w:rsidR="000064BC" w:rsidRPr="00B42807" w:rsidRDefault="000064BC" w:rsidP="000064BC">
                  <w:pPr>
                    <w:spacing w:line="280" w:lineRule="atLeast"/>
                  </w:pPr>
                </w:p>
              </w:tc>
              <w:tc>
                <w:tcPr>
                  <w:tcW w:w="4757" w:type="dxa"/>
                  <w:gridSpan w:val="2"/>
                </w:tcPr>
                <w:p w14:paraId="6F5EF42C" w14:textId="77777777" w:rsidR="000064BC" w:rsidRPr="00B42807" w:rsidRDefault="000064BC" w:rsidP="000064BC">
                  <w:pPr>
                    <w:spacing w:line="280" w:lineRule="atLeast"/>
                  </w:pPr>
                  <w:r w:rsidRPr="00B42807">
                    <w:t>Farms</w:t>
                  </w:r>
                </w:p>
              </w:tc>
              <w:tc>
                <w:tcPr>
                  <w:tcW w:w="817" w:type="dxa"/>
                </w:tcPr>
                <w:p w14:paraId="28CA4195" w14:textId="77777777" w:rsidR="000064BC" w:rsidRPr="00B42807" w:rsidRDefault="000064BC" w:rsidP="000064BC">
                  <w:pPr>
                    <w:spacing w:line="280" w:lineRule="atLeast"/>
                  </w:pPr>
                  <w:r w:rsidRPr="00B42807">
                    <w:t>11</w:t>
                  </w:r>
                </w:p>
              </w:tc>
            </w:tr>
            <w:tr w:rsidR="000064BC" w:rsidRPr="00B42807" w14:paraId="7D5969DA" w14:textId="77777777" w:rsidTr="000064BC">
              <w:trPr>
                <w:trHeight w:val="448"/>
              </w:trPr>
              <w:tc>
                <w:tcPr>
                  <w:tcW w:w="1486" w:type="dxa"/>
                </w:tcPr>
                <w:p w14:paraId="06ADE690" w14:textId="77777777" w:rsidR="000064BC" w:rsidRPr="00B42807" w:rsidRDefault="000064BC" w:rsidP="000064BC">
                  <w:pPr>
                    <w:spacing w:line="280" w:lineRule="atLeast"/>
                  </w:pPr>
                </w:p>
              </w:tc>
              <w:tc>
                <w:tcPr>
                  <w:tcW w:w="4757" w:type="dxa"/>
                  <w:gridSpan w:val="2"/>
                </w:tcPr>
                <w:p w14:paraId="5872E12D" w14:textId="77777777" w:rsidR="000064BC" w:rsidRPr="00B42807" w:rsidRDefault="000064BC" w:rsidP="000064BC">
                  <w:pPr>
                    <w:spacing w:line="280" w:lineRule="atLeast"/>
                  </w:pPr>
                  <w:r w:rsidRPr="00B42807">
                    <w:t>Workers</w:t>
                  </w:r>
                </w:p>
              </w:tc>
              <w:tc>
                <w:tcPr>
                  <w:tcW w:w="817" w:type="dxa"/>
                </w:tcPr>
                <w:p w14:paraId="4A356466" w14:textId="77777777" w:rsidR="000064BC" w:rsidRPr="00B42807" w:rsidRDefault="000064BC" w:rsidP="000064BC">
                  <w:pPr>
                    <w:spacing w:line="280" w:lineRule="atLeast"/>
                  </w:pPr>
                  <w:r w:rsidRPr="00B42807">
                    <w:t>(D)</w:t>
                  </w:r>
                </w:p>
              </w:tc>
            </w:tr>
            <w:tr w:rsidR="000064BC" w:rsidRPr="00B42807" w14:paraId="3B022073" w14:textId="77777777" w:rsidTr="000064BC">
              <w:trPr>
                <w:trHeight w:val="448"/>
              </w:trPr>
              <w:tc>
                <w:tcPr>
                  <w:tcW w:w="1486" w:type="dxa"/>
                </w:tcPr>
                <w:p w14:paraId="6A3ED75D" w14:textId="77777777" w:rsidR="000064BC" w:rsidRPr="00B42807" w:rsidRDefault="000064BC" w:rsidP="000064BC">
                  <w:pPr>
                    <w:spacing w:line="280" w:lineRule="atLeast"/>
                  </w:pPr>
                </w:p>
              </w:tc>
              <w:tc>
                <w:tcPr>
                  <w:tcW w:w="4757" w:type="dxa"/>
                  <w:gridSpan w:val="2"/>
                </w:tcPr>
                <w:p w14:paraId="07D8FEB4" w14:textId="77777777" w:rsidR="000064BC" w:rsidRPr="00B42807" w:rsidRDefault="000064BC" w:rsidP="000064BC">
                  <w:pPr>
                    <w:spacing w:line="280" w:lineRule="atLeast"/>
                  </w:pPr>
                  <w:r w:rsidRPr="00B42807">
                    <w:t>Farms with 10 or More Workers</w:t>
                  </w:r>
                </w:p>
              </w:tc>
              <w:tc>
                <w:tcPr>
                  <w:tcW w:w="817" w:type="dxa"/>
                </w:tcPr>
                <w:p w14:paraId="2AAFF2CB" w14:textId="77777777" w:rsidR="000064BC" w:rsidRPr="00B42807" w:rsidRDefault="000064BC" w:rsidP="000064BC">
                  <w:pPr>
                    <w:spacing w:line="280" w:lineRule="atLeast"/>
                  </w:pPr>
                </w:p>
              </w:tc>
            </w:tr>
            <w:tr w:rsidR="000064BC" w:rsidRPr="00B42807" w14:paraId="66975FC5" w14:textId="77777777" w:rsidTr="000064BC">
              <w:trPr>
                <w:trHeight w:val="448"/>
              </w:trPr>
              <w:tc>
                <w:tcPr>
                  <w:tcW w:w="1486" w:type="dxa"/>
                </w:tcPr>
                <w:p w14:paraId="5BA3B949" w14:textId="77777777" w:rsidR="000064BC" w:rsidRPr="00B42807" w:rsidRDefault="000064BC" w:rsidP="000064BC">
                  <w:pPr>
                    <w:spacing w:line="280" w:lineRule="atLeast"/>
                  </w:pPr>
                </w:p>
              </w:tc>
              <w:tc>
                <w:tcPr>
                  <w:tcW w:w="1189" w:type="dxa"/>
                </w:tcPr>
                <w:p w14:paraId="330819BC" w14:textId="77777777" w:rsidR="000064BC" w:rsidRPr="00B42807" w:rsidRDefault="000064BC" w:rsidP="000064BC">
                  <w:pPr>
                    <w:spacing w:line="280" w:lineRule="atLeast"/>
                  </w:pPr>
                </w:p>
              </w:tc>
              <w:tc>
                <w:tcPr>
                  <w:tcW w:w="3568" w:type="dxa"/>
                </w:tcPr>
                <w:p w14:paraId="58D01092" w14:textId="77777777" w:rsidR="000064BC" w:rsidRPr="00B42807" w:rsidRDefault="000064BC" w:rsidP="000064BC">
                  <w:pPr>
                    <w:spacing w:line="280" w:lineRule="atLeast"/>
                  </w:pPr>
                  <w:r w:rsidRPr="00B42807">
                    <w:t>Farms</w:t>
                  </w:r>
                </w:p>
              </w:tc>
              <w:tc>
                <w:tcPr>
                  <w:tcW w:w="817" w:type="dxa"/>
                </w:tcPr>
                <w:p w14:paraId="4118919F" w14:textId="77777777" w:rsidR="000064BC" w:rsidRPr="00B42807" w:rsidRDefault="000064BC" w:rsidP="000064BC">
                  <w:pPr>
                    <w:spacing w:line="280" w:lineRule="atLeast"/>
                  </w:pPr>
                  <w:r w:rsidRPr="00B42807">
                    <w:t>1</w:t>
                  </w:r>
                </w:p>
              </w:tc>
            </w:tr>
            <w:tr w:rsidR="000064BC" w:rsidRPr="00B42807" w14:paraId="3042D5FE" w14:textId="77777777" w:rsidTr="000064BC">
              <w:trPr>
                <w:trHeight w:val="448"/>
              </w:trPr>
              <w:tc>
                <w:tcPr>
                  <w:tcW w:w="1486" w:type="dxa"/>
                  <w:tcBorders>
                    <w:bottom w:val="single" w:sz="4" w:space="0" w:color="auto"/>
                  </w:tcBorders>
                </w:tcPr>
                <w:p w14:paraId="5841EEB1" w14:textId="77777777" w:rsidR="000064BC" w:rsidRPr="00B42807" w:rsidRDefault="000064BC" w:rsidP="000064BC">
                  <w:pPr>
                    <w:spacing w:line="280" w:lineRule="atLeast"/>
                  </w:pPr>
                </w:p>
              </w:tc>
              <w:tc>
                <w:tcPr>
                  <w:tcW w:w="1189" w:type="dxa"/>
                  <w:tcBorders>
                    <w:bottom w:val="single" w:sz="4" w:space="0" w:color="auto"/>
                  </w:tcBorders>
                </w:tcPr>
                <w:p w14:paraId="746EEC3E" w14:textId="77777777" w:rsidR="000064BC" w:rsidRPr="00B42807" w:rsidRDefault="000064BC" w:rsidP="000064BC">
                  <w:pPr>
                    <w:spacing w:line="280" w:lineRule="atLeast"/>
                  </w:pPr>
                </w:p>
              </w:tc>
              <w:tc>
                <w:tcPr>
                  <w:tcW w:w="3568" w:type="dxa"/>
                  <w:tcBorders>
                    <w:bottom w:val="single" w:sz="4" w:space="0" w:color="auto"/>
                  </w:tcBorders>
                </w:tcPr>
                <w:p w14:paraId="5E69EE99" w14:textId="77777777" w:rsidR="000064BC" w:rsidRPr="00B42807" w:rsidRDefault="000064BC" w:rsidP="000064BC">
                  <w:pPr>
                    <w:spacing w:line="280" w:lineRule="atLeast"/>
                  </w:pPr>
                  <w:r w:rsidRPr="00B42807">
                    <w:t>Workers</w:t>
                  </w:r>
                </w:p>
              </w:tc>
              <w:tc>
                <w:tcPr>
                  <w:tcW w:w="817" w:type="dxa"/>
                  <w:tcBorders>
                    <w:bottom w:val="single" w:sz="4" w:space="0" w:color="auto"/>
                  </w:tcBorders>
                </w:tcPr>
                <w:p w14:paraId="20F348F6" w14:textId="77777777" w:rsidR="000064BC" w:rsidRPr="00B42807" w:rsidRDefault="000064BC" w:rsidP="000064BC">
                  <w:pPr>
                    <w:spacing w:line="280" w:lineRule="atLeast"/>
                  </w:pPr>
                  <w:r w:rsidRPr="00B42807">
                    <w:t>(D)</w:t>
                  </w:r>
                </w:p>
              </w:tc>
            </w:tr>
            <w:tr w:rsidR="000064BC" w:rsidRPr="00B42807" w14:paraId="2ED60DF0" w14:textId="77777777" w:rsidTr="000064BC">
              <w:trPr>
                <w:trHeight w:val="448"/>
              </w:trPr>
              <w:tc>
                <w:tcPr>
                  <w:tcW w:w="7062" w:type="dxa"/>
                  <w:gridSpan w:val="4"/>
                  <w:shd w:val="clear" w:color="auto" w:fill="E6E6E6"/>
                </w:tcPr>
                <w:p w14:paraId="0F1835D6" w14:textId="77777777" w:rsidR="000064BC" w:rsidRPr="00B42807" w:rsidRDefault="000064BC" w:rsidP="000064BC">
                  <w:pPr>
                    <w:spacing w:line="280" w:lineRule="atLeast"/>
                    <w:rPr>
                      <w:b/>
                    </w:rPr>
                  </w:pPr>
                  <w:r w:rsidRPr="00B42807">
                    <w:rPr>
                      <w:b/>
                    </w:rPr>
                    <w:t>Fewer than 150 Days (i.e., Seasonal farmworkers)</w:t>
                  </w:r>
                </w:p>
              </w:tc>
            </w:tr>
            <w:tr w:rsidR="000064BC" w:rsidRPr="00B42807" w14:paraId="4746916C" w14:textId="77777777" w:rsidTr="000064BC">
              <w:trPr>
                <w:trHeight w:val="448"/>
              </w:trPr>
              <w:tc>
                <w:tcPr>
                  <w:tcW w:w="1486" w:type="dxa"/>
                </w:tcPr>
                <w:p w14:paraId="64E176B1" w14:textId="77777777" w:rsidR="000064BC" w:rsidRPr="00B42807" w:rsidRDefault="000064BC" w:rsidP="000064BC">
                  <w:pPr>
                    <w:spacing w:line="280" w:lineRule="atLeast"/>
                  </w:pPr>
                </w:p>
              </w:tc>
              <w:tc>
                <w:tcPr>
                  <w:tcW w:w="4757" w:type="dxa"/>
                  <w:gridSpan w:val="2"/>
                </w:tcPr>
                <w:p w14:paraId="38936195" w14:textId="77777777" w:rsidR="000064BC" w:rsidRPr="00B42807" w:rsidRDefault="000064BC" w:rsidP="000064BC">
                  <w:pPr>
                    <w:spacing w:line="280" w:lineRule="atLeast"/>
                  </w:pPr>
                  <w:r w:rsidRPr="00B42807">
                    <w:t>Farms</w:t>
                  </w:r>
                </w:p>
              </w:tc>
              <w:tc>
                <w:tcPr>
                  <w:tcW w:w="817" w:type="dxa"/>
                </w:tcPr>
                <w:p w14:paraId="09135F95" w14:textId="77777777" w:rsidR="000064BC" w:rsidRPr="00B42807" w:rsidRDefault="000064BC" w:rsidP="000064BC">
                  <w:pPr>
                    <w:spacing w:line="280" w:lineRule="atLeast"/>
                  </w:pPr>
                  <w:r w:rsidRPr="00B42807">
                    <w:t>15</w:t>
                  </w:r>
                </w:p>
              </w:tc>
            </w:tr>
            <w:tr w:rsidR="000064BC" w:rsidRPr="00B42807" w14:paraId="36BC62D2" w14:textId="77777777" w:rsidTr="000064BC">
              <w:trPr>
                <w:trHeight w:val="448"/>
              </w:trPr>
              <w:tc>
                <w:tcPr>
                  <w:tcW w:w="1486" w:type="dxa"/>
                </w:tcPr>
                <w:p w14:paraId="7945C235" w14:textId="77777777" w:rsidR="000064BC" w:rsidRPr="00B42807" w:rsidRDefault="000064BC" w:rsidP="000064BC">
                  <w:pPr>
                    <w:spacing w:line="280" w:lineRule="atLeast"/>
                  </w:pPr>
                </w:p>
              </w:tc>
              <w:tc>
                <w:tcPr>
                  <w:tcW w:w="4757" w:type="dxa"/>
                  <w:gridSpan w:val="2"/>
                </w:tcPr>
                <w:p w14:paraId="043873A1" w14:textId="77777777" w:rsidR="000064BC" w:rsidRPr="00B42807" w:rsidRDefault="000064BC" w:rsidP="000064BC">
                  <w:pPr>
                    <w:spacing w:line="280" w:lineRule="atLeast"/>
                  </w:pPr>
                  <w:r w:rsidRPr="00B42807">
                    <w:t>Workers</w:t>
                  </w:r>
                </w:p>
              </w:tc>
              <w:tc>
                <w:tcPr>
                  <w:tcW w:w="817" w:type="dxa"/>
                </w:tcPr>
                <w:p w14:paraId="04B88B15" w14:textId="77777777" w:rsidR="000064BC" w:rsidRPr="00B42807" w:rsidRDefault="000064BC" w:rsidP="000064BC">
                  <w:pPr>
                    <w:spacing w:line="280" w:lineRule="atLeast"/>
                  </w:pPr>
                  <w:r w:rsidRPr="00B42807">
                    <w:t>51</w:t>
                  </w:r>
                </w:p>
              </w:tc>
            </w:tr>
            <w:tr w:rsidR="000064BC" w:rsidRPr="00B42807" w14:paraId="64436781" w14:textId="77777777" w:rsidTr="000064BC">
              <w:trPr>
                <w:trHeight w:val="448"/>
              </w:trPr>
              <w:tc>
                <w:tcPr>
                  <w:tcW w:w="1486" w:type="dxa"/>
                </w:tcPr>
                <w:p w14:paraId="7427E2FC" w14:textId="77777777" w:rsidR="000064BC" w:rsidRPr="00B42807" w:rsidRDefault="000064BC" w:rsidP="000064BC">
                  <w:pPr>
                    <w:spacing w:line="280" w:lineRule="atLeast"/>
                  </w:pPr>
                </w:p>
              </w:tc>
              <w:tc>
                <w:tcPr>
                  <w:tcW w:w="4757" w:type="dxa"/>
                  <w:gridSpan w:val="2"/>
                </w:tcPr>
                <w:p w14:paraId="393BCF70" w14:textId="77777777" w:rsidR="000064BC" w:rsidRPr="00B42807" w:rsidRDefault="000064BC" w:rsidP="000064BC">
                  <w:pPr>
                    <w:spacing w:line="280" w:lineRule="atLeast"/>
                  </w:pPr>
                  <w:r w:rsidRPr="00B42807">
                    <w:t>Farms with 10 or More Workers</w:t>
                  </w:r>
                </w:p>
              </w:tc>
              <w:tc>
                <w:tcPr>
                  <w:tcW w:w="817" w:type="dxa"/>
                </w:tcPr>
                <w:p w14:paraId="4691D91F" w14:textId="77777777" w:rsidR="000064BC" w:rsidRPr="00B42807" w:rsidRDefault="000064BC" w:rsidP="000064BC">
                  <w:pPr>
                    <w:spacing w:line="280" w:lineRule="atLeast"/>
                  </w:pPr>
                </w:p>
              </w:tc>
            </w:tr>
            <w:tr w:rsidR="000064BC" w:rsidRPr="00B42807" w14:paraId="249599D8" w14:textId="77777777" w:rsidTr="000064BC">
              <w:trPr>
                <w:trHeight w:val="448"/>
              </w:trPr>
              <w:tc>
                <w:tcPr>
                  <w:tcW w:w="1486" w:type="dxa"/>
                </w:tcPr>
                <w:p w14:paraId="08E6B9A0" w14:textId="77777777" w:rsidR="000064BC" w:rsidRPr="00B42807" w:rsidRDefault="000064BC" w:rsidP="000064BC">
                  <w:pPr>
                    <w:spacing w:line="280" w:lineRule="atLeast"/>
                  </w:pPr>
                </w:p>
              </w:tc>
              <w:tc>
                <w:tcPr>
                  <w:tcW w:w="1189" w:type="dxa"/>
                </w:tcPr>
                <w:p w14:paraId="166BE8F9" w14:textId="77777777" w:rsidR="000064BC" w:rsidRPr="00B42807" w:rsidRDefault="000064BC" w:rsidP="000064BC">
                  <w:pPr>
                    <w:spacing w:line="280" w:lineRule="atLeast"/>
                  </w:pPr>
                </w:p>
              </w:tc>
              <w:tc>
                <w:tcPr>
                  <w:tcW w:w="3568" w:type="dxa"/>
                </w:tcPr>
                <w:p w14:paraId="44D554A0" w14:textId="77777777" w:rsidR="000064BC" w:rsidRPr="00B42807" w:rsidRDefault="000064BC" w:rsidP="000064BC">
                  <w:pPr>
                    <w:spacing w:line="280" w:lineRule="atLeast"/>
                  </w:pPr>
                  <w:r w:rsidRPr="00B42807">
                    <w:t>Farms</w:t>
                  </w:r>
                </w:p>
              </w:tc>
              <w:tc>
                <w:tcPr>
                  <w:tcW w:w="817" w:type="dxa"/>
                </w:tcPr>
                <w:p w14:paraId="471C527F" w14:textId="77777777" w:rsidR="000064BC" w:rsidRPr="00B42807" w:rsidRDefault="000064BC" w:rsidP="000064BC">
                  <w:pPr>
                    <w:spacing w:line="280" w:lineRule="atLeast"/>
                  </w:pPr>
                  <w:r w:rsidRPr="00B42807">
                    <w:t>1</w:t>
                  </w:r>
                </w:p>
              </w:tc>
            </w:tr>
            <w:tr w:rsidR="000064BC" w:rsidRPr="00B42807" w14:paraId="13789B19" w14:textId="77777777" w:rsidTr="000064BC">
              <w:trPr>
                <w:trHeight w:val="448"/>
              </w:trPr>
              <w:tc>
                <w:tcPr>
                  <w:tcW w:w="1486" w:type="dxa"/>
                </w:tcPr>
                <w:p w14:paraId="1A3BC6CB" w14:textId="77777777" w:rsidR="000064BC" w:rsidRPr="00B42807" w:rsidRDefault="000064BC" w:rsidP="000064BC">
                  <w:pPr>
                    <w:spacing w:line="280" w:lineRule="atLeast"/>
                  </w:pPr>
                </w:p>
              </w:tc>
              <w:tc>
                <w:tcPr>
                  <w:tcW w:w="1189" w:type="dxa"/>
                </w:tcPr>
                <w:p w14:paraId="02460CA0" w14:textId="77777777" w:rsidR="000064BC" w:rsidRPr="00B42807" w:rsidRDefault="000064BC" w:rsidP="000064BC">
                  <w:pPr>
                    <w:spacing w:line="280" w:lineRule="atLeast"/>
                  </w:pPr>
                </w:p>
              </w:tc>
              <w:tc>
                <w:tcPr>
                  <w:tcW w:w="3568" w:type="dxa"/>
                </w:tcPr>
                <w:p w14:paraId="545F166A" w14:textId="77777777" w:rsidR="000064BC" w:rsidRPr="00B42807" w:rsidRDefault="000064BC" w:rsidP="000064BC">
                  <w:pPr>
                    <w:spacing w:line="280" w:lineRule="atLeast"/>
                  </w:pPr>
                  <w:r w:rsidRPr="00B42807">
                    <w:t>Workers</w:t>
                  </w:r>
                </w:p>
              </w:tc>
              <w:tc>
                <w:tcPr>
                  <w:tcW w:w="817" w:type="dxa"/>
                </w:tcPr>
                <w:p w14:paraId="5EEBB481" w14:textId="77777777" w:rsidR="000064BC" w:rsidRPr="00B42807" w:rsidRDefault="000064BC" w:rsidP="000064BC">
                  <w:pPr>
                    <w:spacing w:line="280" w:lineRule="atLeast"/>
                  </w:pPr>
                  <w:r w:rsidRPr="00B42807">
                    <w:t>(D)</w:t>
                  </w:r>
                </w:p>
              </w:tc>
            </w:tr>
            <w:tr w:rsidR="000064BC" w:rsidRPr="00B42807" w14:paraId="5AE8F3F4" w14:textId="77777777" w:rsidTr="000064BC">
              <w:trPr>
                <w:trHeight w:val="448"/>
              </w:trPr>
              <w:tc>
                <w:tcPr>
                  <w:tcW w:w="7062" w:type="dxa"/>
                  <w:gridSpan w:val="4"/>
                </w:tcPr>
                <w:p w14:paraId="14E2C695" w14:textId="77777777" w:rsidR="000064BC" w:rsidRPr="00B42807" w:rsidRDefault="000064BC" w:rsidP="000064BC">
                  <w:pPr>
                    <w:spacing w:line="280" w:lineRule="atLeast"/>
                    <w:rPr>
                      <w:i/>
                    </w:rPr>
                  </w:pPr>
                  <w:r w:rsidRPr="00B42807">
                    <w:rPr>
                      <w:i/>
                    </w:rPr>
                    <w:t>Source: USDA 2007 Census of Farmworkers.</w:t>
                  </w:r>
                </w:p>
              </w:tc>
            </w:tr>
          </w:tbl>
          <w:p w14:paraId="35E3CFD4" w14:textId="77777777" w:rsidR="000064BC" w:rsidRPr="000064BC" w:rsidRDefault="000064BC" w:rsidP="000064BC">
            <w:pPr>
              <w:spacing w:line="280" w:lineRule="atLeast"/>
              <w:rPr>
                <w:b/>
              </w:rPr>
            </w:pPr>
            <w:r w:rsidRPr="00B42807">
              <w:rPr>
                <w:b/>
              </w:rPr>
              <w:br w:type="page"/>
            </w:r>
          </w:p>
        </w:tc>
      </w:tr>
    </w:tbl>
    <w:p w14:paraId="06CD3B2C" w14:textId="77777777" w:rsidR="00226DAA" w:rsidRPr="00226DAA" w:rsidRDefault="002E1FEA" w:rsidP="00EF449A">
      <w:pPr>
        <w:pStyle w:val="Heading3"/>
      </w:pPr>
      <w:bookmarkStart w:id="118" w:name="_Toc383700014"/>
      <w:r>
        <w:t xml:space="preserve">e. </w:t>
      </w:r>
      <w:r w:rsidR="00226DAA" w:rsidRPr="00226DAA">
        <w:t>FEMALE HEADED HOUSEHOLDS</w:t>
      </w:r>
      <w:bookmarkEnd w:id="118"/>
      <w:r w:rsidR="00226DAA" w:rsidRPr="00226DAA">
        <w:fldChar w:fldCharType="begin"/>
      </w:r>
      <w:r w:rsidR="00226DAA" w:rsidRPr="00226DAA">
        <w:instrText xml:space="preserve"> TC"</w:instrText>
      </w:r>
      <w:bookmarkStart w:id="119" w:name="_Toc53806448"/>
      <w:bookmarkStart w:id="120" w:name="_Toc66156040"/>
      <w:bookmarkStart w:id="121" w:name="_Toc76443960"/>
      <w:bookmarkStart w:id="122" w:name="_Toc123887108"/>
      <w:r w:rsidR="00226DAA" w:rsidRPr="00226DAA">
        <w:instrText>Female Headed Households</w:instrText>
      </w:r>
      <w:bookmarkEnd w:id="119"/>
      <w:bookmarkEnd w:id="120"/>
      <w:bookmarkEnd w:id="121"/>
      <w:bookmarkEnd w:id="122"/>
      <w:r w:rsidR="00226DAA" w:rsidRPr="00226DAA">
        <w:instrText xml:space="preserve">"\l 3 </w:instrText>
      </w:r>
      <w:r w:rsidR="00226DAA" w:rsidRPr="00226DAA">
        <w:fldChar w:fldCharType="end"/>
      </w:r>
    </w:p>
    <w:p w14:paraId="0A63AD47" w14:textId="77777777" w:rsidR="00226DAA" w:rsidRPr="00226DAA" w:rsidRDefault="00226DAA" w:rsidP="00226DAA">
      <w:pPr>
        <w:spacing w:after="0" w:line="280" w:lineRule="atLeast"/>
        <w:jc w:val="both"/>
      </w:pPr>
      <w:r w:rsidRPr="00226DAA">
        <w:t xml:space="preserve">The Census provides data on the total number of female-headed households, the number of those with children, and the number with incomes below the poverty level. The data are not provided separately by owner and renter and include all female heads of household; those without children may be supporting parents, or a single parent may be supporting an adult child or relative. This data is now collected by the ACS. Female heads of household are often the households most in need of affordable housing, childcare, job training and housing rehabilitation funds. </w:t>
      </w:r>
    </w:p>
    <w:p w14:paraId="2CFB294D" w14:textId="77777777" w:rsidR="00226DAA" w:rsidRDefault="00226DAA" w:rsidP="00226DAA">
      <w:pPr>
        <w:spacing w:after="0" w:line="280" w:lineRule="atLeast"/>
        <w:jc w:val="both"/>
      </w:pPr>
    </w:p>
    <w:p w14:paraId="3A6C44C4" w14:textId="77777777" w:rsidR="00226DAA" w:rsidRPr="00226DAA" w:rsidRDefault="00226DAA" w:rsidP="00226DAA">
      <w:pPr>
        <w:spacing w:after="0" w:line="280" w:lineRule="atLeast"/>
        <w:jc w:val="both"/>
      </w:pPr>
      <w:r w:rsidRPr="00226DAA">
        <w:t>In unincorporated Mono County, there were 145 female-headed households in 2011 (5.7 percent of all households), up from 137 in 2000 Of the 145 female-headed households, according to the ACS data 0 were under the poverty level however, it is likely that the ACS is underreporting due to a small sample size</w:t>
      </w:r>
    </w:p>
    <w:p w14:paraId="6696EC37" w14:textId="77777777" w:rsidR="00226DAA" w:rsidRDefault="00226DAA" w:rsidP="00226DAA">
      <w:pPr>
        <w:spacing w:after="0" w:line="280" w:lineRule="atLeast"/>
        <w:jc w:val="both"/>
      </w:pPr>
    </w:p>
    <w:p w14:paraId="46F0F217" w14:textId="77777777" w:rsidR="00226DAA" w:rsidRPr="00226DAA" w:rsidRDefault="00226DAA" w:rsidP="00226DAA">
      <w:pPr>
        <w:spacing w:after="0" w:line="280" w:lineRule="atLeast"/>
        <w:jc w:val="both"/>
      </w:pPr>
      <w:r w:rsidRPr="00226DAA">
        <w:t>The Mono County Department of Social Services estimates that approximately 45 families in the unincorporated area with a female head of household receive assistance from CalWorks on an ongoing basis (Julie Timerman). Under this program they are eligible to receive food stamps and Medi-Cal, as well as Welfare to Work services including, but not limited to, mental health, drug and alcohol counseling, child care, and job skills. There are no direct housing assistance programs.</w:t>
      </w:r>
    </w:p>
    <w:p w14:paraId="24843CB7" w14:textId="77777777" w:rsidR="00226DAA" w:rsidRDefault="00226DAA" w:rsidP="00226DAA">
      <w:pPr>
        <w:spacing w:after="0" w:line="280" w:lineRule="atLeast"/>
        <w:jc w:val="both"/>
      </w:pPr>
    </w:p>
    <w:p w14:paraId="001A0297" w14:textId="77777777" w:rsidR="00226DAA" w:rsidRPr="00226DAA" w:rsidRDefault="00226DAA" w:rsidP="00226DAA">
      <w:pPr>
        <w:spacing w:after="0" w:line="280" w:lineRule="atLeast"/>
        <w:jc w:val="both"/>
      </w:pPr>
      <w:r w:rsidRPr="00226DAA">
        <w:t xml:space="preserve">Female headed households with an income under the poverty level will need affordable rental housing. In Mono County, mobile homes and small multifamily units such as duplexes and triplexes, are often the most affordable. </w:t>
      </w:r>
    </w:p>
    <w:p w14:paraId="00E200A0" w14:textId="77777777" w:rsidR="00226DAA" w:rsidRPr="00226DAA" w:rsidRDefault="00226DAA" w:rsidP="00226DAA">
      <w:pPr>
        <w:spacing w:after="0" w:line="280" w:lineRule="atLeast"/>
        <w:jc w:val="both"/>
        <w:rPr>
          <w:b/>
        </w:rPr>
      </w:pPr>
    </w:p>
    <w:p w14:paraId="793E9C37" w14:textId="77777777" w:rsidR="00B255E0" w:rsidRPr="00B42807" w:rsidRDefault="00B255E0" w:rsidP="00B255E0">
      <w:pPr>
        <w:spacing w:line="280" w:lineRule="atLeast"/>
      </w:pPr>
      <w:r w:rsidRPr="00B42807">
        <w:t>Table 22, Female Headed Households (2011) Unincorporated Mono County</w:t>
      </w:r>
    </w:p>
    <w:tbl>
      <w:tblPr>
        <w:tblW w:w="995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5"/>
        <w:gridCol w:w="1774"/>
        <w:gridCol w:w="1779"/>
      </w:tblGrid>
      <w:tr w:rsidR="00B255E0" w:rsidRPr="00B42807" w14:paraId="785774F5" w14:textId="77777777" w:rsidTr="00B75149">
        <w:trPr>
          <w:trHeight w:val="154"/>
        </w:trPr>
        <w:tc>
          <w:tcPr>
            <w:tcW w:w="6405" w:type="dxa"/>
            <w:tcBorders>
              <w:bottom w:val="single" w:sz="4" w:space="0" w:color="auto"/>
            </w:tcBorders>
            <w:shd w:val="clear" w:color="auto" w:fill="E6E6E6"/>
          </w:tcPr>
          <w:p w14:paraId="71FBEAFE" w14:textId="77777777" w:rsidR="00B255E0" w:rsidRPr="00B42807" w:rsidRDefault="00B255E0" w:rsidP="002B4CDA">
            <w:pPr>
              <w:spacing w:line="280" w:lineRule="atLeast"/>
              <w:jc w:val="center"/>
              <w:rPr>
                <w:b/>
              </w:rPr>
            </w:pPr>
            <w:r w:rsidRPr="00B42807">
              <w:rPr>
                <w:b/>
              </w:rPr>
              <w:t>Household Type</w:t>
            </w:r>
          </w:p>
        </w:tc>
        <w:tc>
          <w:tcPr>
            <w:tcW w:w="1774" w:type="dxa"/>
            <w:tcBorders>
              <w:bottom w:val="single" w:sz="4" w:space="0" w:color="auto"/>
            </w:tcBorders>
            <w:shd w:val="clear" w:color="auto" w:fill="E6E6E6"/>
          </w:tcPr>
          <w:p w14:paraId="6872FEFE" w14:textId="77777777" w:rsidR="00B255E0" w:rsidRPr="00B42807" w:rsidRDefault="00B255E0" w:rsidP="002B4CDA">
            <w:pPr>
              <w:spacing w:line="280" w:lineRule="atLeast"/>
              <w:jc w:val="center"/>
              <w:rPr>
                <w:b/>
              </w:rPr>
            </w:pPr>
            <w:r w:rsidRPr="00B42807">
              <w:rPr>
                <w:b/>
              </w:rPr>
              <w:t>Number</w:t>
            </w:r>
          </w:p>
        </w:tc>
        <w:tc>
          <w:tcPr>
            <w:tcW w:w="1777" w:type="dxa"/>
            <w:tcBorders>
              <w:bottom w:val="single" w:sz="4" w:space="0" w:color="auto"/>
            </w:tcBorders>
            <w:shd w:val="clear" w:color="auto" w:fill="E6E6E6"/>
          </w:tcPr>
          <w:p w14:paraId="1EAD45B2" w14:textId="77777777" w:rsidR="00B255E0" w:rsidRPr="00B42807" w:rsidRDefault="00B255E0" w:rsidP="002B4CDA">
            <w:pPr>
              <w:spacing w:line="280" w:lineRule="atLeast"/>
              <w:jc w:val="center"/>
              <w:rPr>
                <w:b/>
              </w:rPr>
            </w:pPr>
            <w:r w:rsidRPr="00B42807">
              <w:rPr>
                <w:b/>
              </w:rPr>
              <w:t>Percent</w:t>
            </w:r>
          </w:p>
        </w:tc>
      </w:tr>
      <w:tr w:rsidR="00B255E0" w:rsidRPr="00B42807" w14:paraId="650E7ACC" w14:textId="77777777" w:rsidTr="00B75149">
        <w:trPr>
          <w:trHeight w:val="154"/>
        </w:trPr>
        <w:tc>
          <w:tcPr>
            <w:tcW w:w="6405" w:type="dxa"/>
          </w:tcPr>
          <w:p w14:paraId="4E2EDD27" w14:textId="77777777" w:rsidR="00B255E0" w:rsidRPr="00B42807" w:rsidRDefault="00B255E0" w:rsidP="002B4CDA">
            <w:pPr>
              <w:spacing w:line="280" w:lineRule="atLeast"/>
              <w:jc w:val="both"/>
            </w:pPr>
            <w:r w:rsidRPr="00B42807">
              <w:t>Female-Headed Households</w:t>
            </w:r>
          </w:p>
        </w:tc>
        <w:tc>
          <w:tcPr>
            <w:tcW w:w="1774" w:type="dxa"/>
          </w:tcPr>
          <w:p w14:paraId="76E70EA3" w14:textId="77777777" w:rsidR="00B255E0" w:rsidRPr="00B42807" w:rsidRDefault="00B255E0" w:rsidP="002B4CDA">
            <w:pPr>
              <w:spacing w:line="280" w:lineRule="atLeast"/>
              <w:jc w:val="center"/>
            </w:pPr>
            <w:r w:rsidRPr="00B42807">
              <w:t>145</w:t>
            </w:r>
          </w:p>
        </w:tc>
        <w:tc>
          <w:tcPr>
            <w:tcW w:w="1777" w:type="dxa"/>
          </w:tcPr>
          <w:p w14:paraId="19296B85" w14:textId="77777777" w:rsidR="00B255E0" w:rsidRPr="00B42807" w:rsidRDefault="00B255E0" w:rsidP="002B4CDA">
            <w:pPr>
              <w:spacing w:line="280" w:lineRule="atLeast"/>
              <w:jc w:val="center"/>
            </w:pPr>
            <w:r w:rsidRPr="00B42807">
              <w:t>5.7%</w:t>
            </w:r>
          </w:p>
        </w:tc>
      </w:tr>
      <w:tr w:rsidR="00B255E0" w:rsidRPr="00B42807" w14:paraId="6B9CB3DA" w14:textId="77777777" w:rsidTr="00B75149">
        <w:trPr>
          <w:trHeight w:val="154"/>
        </w:trPr>
        <w:tc>
          <w:tcPr>
            <w:tcW w:w="6405" w:type="dxa"/>
            <w:tcBorders>
              <w:bottom w:val="single" w:sz="4" w:space="0" w:color="auto"/>
            </w:tcBorders>
          </w:tcPr>
          <w:p w14:paraId="7789C7C3" w14:textId="77777777" w:rsidR="00B255E0" w:rsidRPr="00B42807" w:rsidRDefault="00B255E0" w:rsidP="002B4CDA">
            <w:pPr>
              <w:spacing w:line="280" w:lineRule="atLeast"/>
              <w:jc w:val="both"/>
            </w:pPr>
            <w:r w:rsidRPr="00B42807">
              <w:t>Total Households</w:t>
            </w:r>
          </w:p>
        </w:tc>
        <w:tc>
          <w:tcPr>
            <w:tcW w:w="1774" w:type="dxa"/>
            <w:tcBorders>
              <w:bottom w:val="single" w:sz="4" w:space="0" w:color="auto"/>
            </w:tcBorders>
          </w:tcPr>
          <w:p w14:paraId="7BC17401" w14:textId="77777777" w:rsidR="00B255E0" w:rsidRPr="00B42807" w:rsidRDefault="00B255E0" w:rsidP="002B4CDA">
            <w:pPr>
              <w:spacing w:line="280" w:lineRule="atLeast"/>
              <w:jc w:val="center"/>
            </w:pPr>
            <w:r w:rsidRPr="00B42807">
              <w:t>2,539</w:t>
            </w:r>
          </w:p>
        </w:tc>
        <w:tc>
          <w:tcPr>
            <w:tcW w:w="1777" w:type="dxa"/>
            <w:tcBorders>
              <w:bottom w:val="single" w:sz="4" w:space="0" w:color="auto"/>
            </w:tcBorders>
          </w:tcPr>
          <w:p w14:paraId="478C476B" w14:textId="77777777" w:rsidR="00B255E0" w:rsidRPr="00B42807" w:rsidRDefault="00B255E0" w:rsidP="002B4CDA">
            <w:pPr>
              <w:spacing w:line="280" w:lineRule="atLeast"/>
              <w:jc w:val="center"/>
            </w:pPr>
            <w:r w:rsidRPr="00B42807">
              <w:t>100.0%</w:t>
            </w:r>
          </w:p>
        </w:tc>
      </w:tr>
      <w:tr w:rsidR="00B255E0" w:rsidRPr="00B42807" w14:paraId="7B7039CE" w14:textId="77777777" w:rsidTr="00B75149">
        <w:trPr>
          <w:trHeight w:val="779"/>
        </w:trPr>
        <w:tc>
          <w:tcPr>
            <w:tcW w:w="9958" w:type="dxa"/>
            <w:gridSpan w:val="3"/>
            <w:tcBorders>
              <w:top w:val="single" w:sz="4" w:space="0" w:color="auto"/>
              <w:left w:val="nil"/>
              <w:bottom w:val="nil"/>
              <w:right w:val="nil"/>
            </w:tcBorders>
          </w:tcPr>
          <w:p w14:paraId="75ACA62E" w14:textId="77777777" w:rsidR="00B255E0" w:rsidRPr="00B42807" w:rsidRDefault="00B255E0" w:rsidP="00B255E0">
            <w:pPr>
              <w:spacing w:line="280" w:lineRule="atLeast"/>
              <w:jc w:val="both"/>
              <w:rPr>
                <w:i/>
              </w:rPr>
            </w:pPr>
            <w:r>
              <w:rPr>
                <w:i/>
              </w:rPr>
              <w:t>Source:  ACS 2007</w:t>
            </w:r>
          </w:p>
        </w:tc>
      </w:tr>
    </w:tbl>
    <w:p w14:paraId="1B6680DC" w14:textId="77777777" w:rsidR="00226DAA" w:rsidRPr="00226DAA" w:rsidRDefault="002E1FEA" w:rsidP="00EF449A">
      <w:pPr>
        <w:pStyle w:val="Heading3"/>
      </w:pPr>
      <w:bookmarkStart w:id="123" w:name="_Toc383700015"/>
      <w:r>
        <w:t xml:space="preserve">f. </w:t>
      </w:r>
      <w:r w:rsidR="00226DAA" w:rsidRPr="00226DAA">
        <w:t>EMERGENCY SHELTER NEEDS AND HOMELESS HOUSING</w:t>
      </w:r>
      <w:bookmarkEnd w:id="123"/>
      <w:r w:rsidR="00226DAA" w:rsidRPr="00226DAA">
        <w:fldChar w:fldCharType="begin"/>
      </w:r>
      <w:r w:rsidR="00226DAA" w:rsidRPr="00226DAA">
        <w:instrText xml:space="preserve"> TC  "</w:instrText>
      </w:r>
      <w:bookmarkStart w:id="124" w:name="_Toc53806449"/>
      <w:bookmarkStart w:id="125" w:name="_Toc66156041"/>
      <w:bookmarkStart w:id="126" w:name="_Toc76443961"/>
      <w:bookmarkStart w:id="127" w:name="_Toc123887109"/>
      <w:r w:rsidR="00226DAA" w:rsidRPr="00226DAA">
        <w:instrText>Emergency Shelter Needs and Homeless Housing</w:instrText>
      </w:r>
      <w:bookmarkEnd w:id="124"/>
      <w:bookmarkEnd w:id="125"/>
      <w:bookmarkEnd w:id="126"/>
      <w:bookmarkEnd w:id="127"/>
      <w:r w:rsidR="00226DAA" w:rsidRPr="00226DAA">
        <w:instrText xml:space="preserve">" \l 3 </w:instrText>
      </w:r>
      <w:r w:rsidR="00226DAA" w:rsidRPr="00226DAA">
        <w:fldChar w:fldCharType="end"/>
      </w:r>
    </w:p>
    <w:p w14:paraId="466A367D" w14:textId="77777777" w:rsidR="00226DAA" w:rsidRPr="00226DAA" w:rsidRDefault="00226DAA" w:rsidP="00226DAA">
      <w:pPr>
        <w:spacing w:line="280" w:lineRule="atLeast"/>
        <w:jc w:val="both"/>
      </w:pPr>
      <w:r w:rsidRPr="00226DAA">
        <w:t>The need for emergency housing encompasses a large range of situations. Families otherwise able to provide themselves with adequate housing may be suddenly and unexpectedly faced with the need for emergency shelter as a result of fire or family break-up. Families only marginally able to meet their housing needs may be left without shelter when their present housing is sold, when a shared housing arrangement breaks down, from an inability to pay rent, or a number of similar reasons. Finally, there is a transient population, composed of both families and individuals that may have emergency shelter needs.</w:t>
      </w:r>
    </w:p>
    <w:p w14:paraId="73B92695" w14:textId="77777777" w:rsidR="00226DAA" w:rsidRPr="00226DAA" w:rsidRDefault="00226DAA" w:rsidP="00226DAA">
      <w:pPr>
        <w:spacing w:line="280" w:lineRule="atLeast"/>
        <w:jc w:val="both"/>
      </w:pPr>
      <w:r w:rsidRPr="00226DAA">
        <w:t xml:space="preserve">Mono County does not have a large homeless population, largely due to the severe winter weather conditions. The Mono County Department of Social Services estimates that they have approximately one homeless assistance case per year, usually a family displaced for a short time each year (Julie Timerman). Mono County does not have any homeless shelters, due to the low numbers of homeless persons. In addition, the social services that are provided are not concentrated in one location, making it difficult for a homeless person to utilize them, especially since there is only limited public transportation within the County. </w:t>
      </w:r>
    </w:p>
    <w:p w14:paraId="210A25C8" w14:textId="77777777" w:rsidR="00226DAA" w:rsidRPr="00226DAA" w:rsidRDefault="00226DAA" w:rsidP="00226DAA">
      <w:pPr>
        <w:spacing w:line="280" w:lineRule="atLeast"/>
        <w:jc w:val="both"/>
      </w:pPr>
      <w:r w:rsidRPr="00226DAA">
        <w:t>Through the joint efforts of the Mono County Department of Social Services and the Inyo-Mono Advocates for Community Action (IMACA) low-income residents and transients in Mono County may be placed in a local or nearby motel on an emergency basis for up to 28 days. IMACA has 18 Section 8 vouchers that they use primarily for rental assistance and shelter for homeless persons. IMACA also operates 24 units of low-income housing in Mammoth Lakes. The Mono County Department of Social Services provides rental assistance to assist individuals with permanent housing or to keep them from being evicted, and provides food vouchers to qualified persons. Current services are adequate for the needs in the area.</w:t>
      </w:r>
    </w:p>
    <w:p w14:paraId="1D5822AE" w14:textId="77777777" w:rsidR="00226DAA" w:rsidRPr="00226DAA" w:rsidRDefault="00226DAA" w:rsidP="00226DAA">
      <w:pPr>
        <w:spacing w:after="0" w:line="280" w:lineRule="atLeast"/>
        <w:jc w:val="both"/>
        <w:rPr>
          <w:rFonts w:eastAsia="Times New Roman" w:cs="Times New Roman"/>
        </w:rPr>
      </w:pPr>
      <w:r w:rsidRPr="00226DAA">
        <w:rPr>
          <w:rFonts w:eastAsia="Times New Roman" w:cs="Times New Roman"/>
        </w:rPr>
        <w:t>In compliance with state law, the county will designate at least one land use designation where emergency shelters and transitional and supportive housing for the homeless will be allowed without a use permit or other discretionary permit.  Emergency shelters will be allowed in the Public Facility (PF) land use designation and multi-family residential designations (MFR).  Currently, the county has designated its community centers as emergency shelters for disaster/weather-related shelter needs.  Community centers are located in the PF land use designation.  As shown in Table 48, the county has a large amount of land designated with various MFR designations, with sufficient capacity to accommodate the need for emergency shelters. In compliance with state law, transitional and supportive housing will be allowed as a residential use in all land use designations where similar housing types are allowed.  Transitional and supportive housing must be subject only to the restrictions that apply to other residential uses of the same type in the same designation.</w:t>
      </w:r>
    </w:p>
    <w:p w14:paraId="59372974" w14:textId="77777777" w:rsidR="00226DAA" w:rsidRPr="00226DAA" w:rsidRDefault="00226DAA" w:rsidP="00226DAA">
      <w:pPr>
        <w:spacing w:after="0" w:line="280" w:lineRule="atLeast"/>
        <w:jc w:val="both"/>
        <w:rPr>
          <w:rFonts w:eastAsia="Times New Roman" w:cs="Times New Roman"/>
        </w:rPr>
      </w:pPr>
    </w:p>
    <w:p w14:paraId="343E227B" w14:textId="77777777" w:rsidR="00226DAA" w:rsidRPr="00226DAA" w:rsidRDefault="00226DAA" w:rsidP="00226DAA">
      <w:pPr>
        <w:spacing w:line="280" w:lineRule="atLeast"/>
        <w:jc w:val="both"/>
      </w:pPr>
      <w:r w:rsidRPr="00226DAA">
        <w:t>Emergency housing may also be a necessity during times of disaster, such as avalanches, floods, fires and earthquakes. According to the Mono County Multi-Hazard Functional Plan, prepared by the County's Office of Emergency Services, emergency housing may consist of any appropriate public or private building, depending on the size, location and nature of the disaster.  Currently, each community area in Mono County has a designated Emergency Shelter, usually the community center or a church or school.  Disaster shelters may be temporarily coordinated and/or funded by the American Red Cross, the Federal Emergency Management Agency, the local Department of Social Services, the Sheriff's Department, and other appropriate private or quasi-public organizations. Although the California Office of Emergency Services has suggested that a permanent, year-round emergency disaster shelter may be appropriate for Mono County, the cost of building such a facility is well beyond the reach of the County's budget. Until such time as additional funding becomes available, use of community centers, federal buildings, churches and hotels/motels as evacuation centers/emergency shelters will continue in Mono County.</w:t>
      </w:r>
    </w:p>
    <w:p w14:paraId="4EBD8C45" w14:textId="77777777" w:rsidR="00226DAA" w:rsidRDefault="002E1FEA" w:rsidP="00EF449A">
      <w:pPr>
        <w:pStyle w:val="Heading3"/>
        <w:rPr>
          <w:u w:val="single"/>
        </w:rPr>
      </w:pPr>
      <w:bookmarkStart w:id="128" w:name="_Toc383700016"/>
      <w:r>
        <w:t xml:space="preserve">g. </w:t>
      </w:r>
      <w:r w:rsidR="00226DAA" w:rsidRPr="00226DAA">
        <w:t>U.S. MARINE CORPS</w:t>
      </w:r>
      <w:bookmarkEnd w:id="128"/>
      <w:r w:rsidR="00226DAA" w:rsidRPr="00226DAA">
        <w:rPr>
          <w:u w:val="single"/>
        </w:rPr>
        <w:fldChar w:fldCharType="begin"/>
      </w:r>
      <w:r w:rsidR="00226DAA" w:rsidRPr="00226DAA">
        <w:rPr>
          <w:u w:val="single"/>
        </w:rPr>
        <w:instrText xml:space="preserve"> TC  "</w:instrText>
      </w:r>
      <w:bookmarkStart w:id="129" w:name="_Toc53806450"/>
      <w:bookmarkStart w:id="130" w:name="_Toc66156042"/>
      <w:bookmarkStart w:id="131" w:name="_Toc76443962"/>
      <w:bookmarkStart w:id="132" w:name="_Toc123887110"/>
      <w:r w:rsidR="00226DAA" w:rsidRPr="00226DAA">
        <w:instrText>U.S. Marine Corps</w:instrText>
      </w:r>
      <w:bookmarkEnd w:id="129"/>
      <w:bookmarkEnd w:id="130"/>
      <w:bookmarkEnd w:id="131"/>
      <w:bookmarkEnd w:id="132"/>
      <w:r w:rsidR="00226DAA" w:rsidRPr="00226DAA">
        <w:rPr>
          <w:u w:val="single"/>
        </w:rPr>
        <w:instrText xml:space="preserve">" \l 3 </w:instrText>
      </w:r>
      <w:r w:rsidR="00226DAA" w:rsidRPr="00226DAA">
        <w:rPr>
          <w:u w:val="single"/>
        </w:rPr>
        <w:fldChar w:fldCharType="end"/>
      </w:r>
    </w:p>
    <w:p w14:paraId="58BB06C3" w14:textId="77777777" w:rsidR="00226DAA" w:rsidRPr="00226DAA" w:rsidRDefault="00226DAA" w:rsidP="00226DAA">
      <w:pPr>
        <w:spacing w:after="0" w:line="280" w:lineRule="atLeast"/>
        <w:jc w:val="both"/>
        <w:rPr>
          <w:u w:val="single"/>
        </w:rPr>
      </w:pPr>
      <w:r w:rsidRPr="00226DAA">
        <w:t xml:space="preserve">The Marine Corps Mountain Warfare Training Center, located off S.R. 108 west of Sonora Junction and north of Bridgeport, maintains housing on the base and at Coleville in the Antelope Valley. There are 110 housing units at the family housing project north of Coleville in the Antelope Valley, </w:t>
      </w:r>
      <w:r w:rsidRPr="00226DAA">
        <w:rPr>
          <w:color w:val="000000" w:themeColor="text1"/>
        </w:rPr>
        <w:t>and one barrack at the base with 200 beds for single people.</w:t>
      </w:r>
    </w:p>
    <w:p w14:paraId="19FF3C8F" w14:textId="77777777" w:rsidR="00226DAA" w:rsidRPr="00226DAA" w:rsidRDefault="00226DAA" w:rsidP="00682AA1">
      <w:pPr>
        <w:spacing w:line="280" w:lineRule="atLeast"/>
        <w:jc w:val="both"/>
        <w:rPr>
          <w:b/>
        </w:rPr>
      </w:pPr>
    </w:p>
    <w:p w14:paraId="6FC30BFE" w14:textId="77777777" w:rsidR="006C103C" w:rsidRPr="00E65DA7" w:rsidRDefault="002E1FEA" w:rsidP="00EF449A">
      <w:pPr>
        <w:pStyle w:val="Heading2"/>
      </w:pPr>
      <w:bookmarkStart w:id="133" w:name="_Toc383700017"/>
      <w:r>
        <w:t xml:space="preserve">F. </w:t>
      </w:r>
      <w:r w:rsidR="003D5E81">
        <w:t>PROJECTED HOUSING NEEDS</w:t>
      </w:r>
      <w:bookmarkEnd w:id="133"/>
    </w:p>
    <w:p w14:paraId="28B00B82" w14:textId="77777777" w:rsidR="00E65DA7" w:rsidRPr="00E65DA7" w:rsidRDefault="002E1FEA" w:rsidP="00EF449A">
      <w:pPr>
        <w:pStyle w:val="Heading3"/>
      </w:pPr>
      <w:bookmarkStart w:id="134" w:name="_Toc383700018"/>
      <w:r>
        <w:t xml:space="preserve">a. </w:t>
      </w:r>
      <w:r w:rsidR="00E65DA7" w:rsidRPr="00E65DA7">
        <w:t>REGIONAL HOUSING NEED</w:t>
      </w:r>
      <w:bookmarkEnd w:id="134"/>
      <w:r w:rsidR="00E65DA7" w:rsidRPr="00E65DA7">
        <w:fldChar w:fldCharType="begin"/>
      </w:r>
      <w:r w:rsidR="00E65DA7" w:rsidRPr="00E65DA7">
        <w:instrText xml:space="preserve"> TC"</w:instrText>
      </w:r>
      <w:bookmarkStart w:id="135" w:name="_Toc53806462"/>
      <w:bookmarkStart w:id="136" w:name="_Toc66156054"/>
      <w:bookmarkStart w:id="137" w:name="_Toc76443974"/>
      <w:bookmarkStart w:id="138" w:name="_Toc123887112"/>
      <w:r w:rsidR="00E65DA7" w:rsidRPr="00E65DA7">
        <w:instrText>Regional Housing Need</w:instrText>
      </w:r>
      <w:bookmarkEnd w:id="135"/>
      <w:bookmarkEnd w:id="136"/>
      <w:bookmarkEnd w:id="137"/>
      <w:bookmarkEnd w:id="138"/>
      <w:r w:rsidR="00E65DA7" w:rsidRPr="00E65DA7">
        <w:instrText xml:space="preserve">"\l 2 </w:instrText>
      </w:r>
      <w:r w:rsidR="00E65DA7" w:rsidRPr="00E65DA7">
        <w:fldChar w:fldCharType="end"/>
      </w:r>
    </w:p>
    <w:p w14:paraId="04B63400" w14:textId="77777777"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The Regional Housing Need allocated to unincorporated Mono County for the period January 1, 2014 through June 30, 2019 is shown in Table 23. The income groups are defined as follows:</w:t>
      </w:r>
    </w:p>
    <w:p w14:paraId="5CF59933" w14:textId="77777777" w:rsidR="00E65DA7" w:rsidRPr="00E65DA7" w:rsidRDefault="00E65DA7" w:rsidP="00E65DA7">
      <w:pPr>
        <w:spacing w:after="0" w:line="280" w:lineRule="atLeast"/>
        <w:jc w:val="both"/>
        <w:rPr>
          <w:rFonts w:eastAsia="Times New Roman" w:cs="Times New Roman"/>
        </w:rPr>
      </w:pPr>
    </w:p>
    <w:p w14:paraId="55031204" w14:textId="77777777" w:rsidR="00E65DA7" w:rsidRPr="00E65DA7" w:rsidRDefault="00E65DA7" w:rsidP="00E65DA7">
      <w:pPr>
        <w:tabs>
          <w:tab w:val="left" w:pos="2880"/>
          <w:tab w:val="left" w:pos="3240"/>
        </w:tabs>
        <w:spacing w:after="0" w:line="280" w:lineRule="atLeast"/>
        <w:ind w:left="360"/>
        <w:jc w:val="both"/>
        <w:rPr>
          <w:rFonts w:eastAsia="Times New Roman" w:cs="Times New Roman"/>
        </w:rPr>
      </w:pPr>
      <w:r w:rsidRPr="00E65DA7">
        <w:rPr>
          <w:rFonts w:eastAsia="Times New Roman" w:cs="Times New Roman"/>
        </w:rPr>
        <w:t xml:space="preserve">Very Low Income </w:t>
      </w:r>
      <w:r w:rsidRPr="00E65DA7">
        <w:rPr>
          <w:rFonts w:eastAsia="Times New Roman" w:cs="Times New Roman"/>
        </w:rPr>
        <w:tab/>
        <w:t xml:space="preserve">= </w:t>
      </w:r>
      <w:r w:rsidRPr="00E65DA7">
        <w:rPr>
          <w:rFonts w:eastAsia="Times New Roman" w:cs="Times New Roman"/>
        </w:rPr>
        <w:tab/>
        <w:t>0-50 percent of the area's median income (AMI)</w:t>
      </w:r>
    </w:p>
    <w:p w14:paraId="71D71125" w14:textId="77777777" w:rsidR="00E65DA7" w:rsidRPr="00E65DA7" w:rsidRDefault="00E65DA7" w:rsidP="00E65DA7">
      <w:pPr>
        <w:tabs>
          <w:tab w:val="left" w:pos="2880"/>
          <w:tab w:val="left" w:pos="3240"/>
        </w:tabs>
        <w:spacing w:after="0" w:line="280" w:lineRule="atLeast"/>
        <w:ind w:left="360"/>
        <w:jc w:val="both"/>
        <w:rPr>
          <w:rFonts w:eastAsia="Times New Roman" w:cs="Times New Roman"/>
        </w:rPr>
      </w:pPr>
      <w:r w:rsidRPr="00E65DA7">
        <w:rPr>
          <w:rFonts w:eastAsia="Times New Roman" w:cs="Times New Roman"/>
        </w:rPr>
        <w:t xml:space="preserve">Low Income </w:t>
      </w:r>
      <w:r w:rsidRPr="00E65DA7">
        <w:rPr>
          <w:rFonts w:eastAsia="Times New Roman" w:cs="Times New Roman"/>
        </w:rPr>
        <w:tab/>
        <w:t xml:space="preserve">= </w:t>
      </w:r>
      <w:r w:rsidRPr="00E65DA7">
        <w:rPr>
          <w:rFonts w:eastAsia="Times New Roman" w:cs="Times New Roman"/>
        </w:rPr>
        <w:tab/>
        <w:t>51-80 percent of the area's median income</w:t>
      </w:r>
    </w:p>
    <w:p w14:paraId="62B9B5A5" w14:textId="77777777" w:rsidR="00E65DA7" w:rsidRPr="00E65DA7" w:rsidRDefault="00E65DA7" w:rsidP="00E65DA7">
      <w:pPr>
        <w:tabs>
          <w:tab w:val="left" w:pos="2880"/>
          <w:tab w:val="left" w:pos="3240"/>
        </w:tabs>
        <w:spacing w:after="0" w:line="280" w:lineRule="atLeast"/>
        <w:ind w:left="360"/>
        <w:jc w:val="both"/>
        <w:rPr>
          <w:rFonts w:eastAsia="Times New Roman" w:cs="Times New Roman"/>
        </w:rPr>
      </w:pPr>
      <w:r w:rsidRPr="00E65DA7">
        <w:rPr>
          <w:rFonts w:eastAsia="Times New Roman" w:cs="Times New Roman"/>
        </w:rPr>
        <w:t xml:space="preserve">Moderate Income </w:t>
      </w:r>
      <w:r w:rsidRPr="00E65DA7">
        <w:rPr>
          <w:rFonts w:eastAsia="Times New Roman" w:cs="Times New Roman"/>
        </w:rPr>
        <w:tab/>
        <w:t xml:space="preserve">= </w:t>
      </w:r>
      <w:r w:rsidRPr="00E65DA7">
        <w:rPr>
          <w:rFonts w:eastAsia="Times New Roman" w:cs="Times New Roman"/>
        </w:rPr>
        <w:tab/>
        <w:t>81-120 percent of the area's median income</w:t>
      </w:r>
    </w:p>
    <w:p w14:paraId="097A68DD" w14:textId="77777777" w:rsidR="00E65DA7" w:rsidRPr="00E65DA7" w:rsidRDefault="00E65DA7" w:rsidP="00E65DA7">
      <w:pPr>
        <w:tabs>
          <w:tab w:val="left" w:pos="2880"/>
          <w:tab w:val="left" w:pos="3240"/>
        </w:tabs>
        <w:spacing w:after="0" w:line="280" w:lineRule="atLeast"/>
        <w:ind w:left="360"/>
        <w:jc w:val="both"/>
        <w:rPr>
          <w:rFonts w:eastAsia="Times New Roman" w:cs="Times New Roman"/>
        </w:rPr>
      </w:pPr>
      <w:r w:rsidRPr="00E65DA7">
        <w:rPr>
          <w:rFonts w:eastAsia="Times New Roman" w:cs="Times New Roman"/>
        </w:rPr>
        <w:t xml:space="preserve">Above Moderate Income </w:t>
      </w:r>
      <w:r w:rsidRPr="00E65DA7">
        <w:rPr>
          <w:rFonts w:eastAsia="Times New Roman" w:cs="Times New Roman"/>
        </w:rPr>
        <w:tab/>
        <w:t xml:space="preserve">= </w:t>
      </w:r>
      <w:r w:rsidRPr="00E65DA7">
        <w:rPr>
          <w:rFonts w:eastAsia="Times New Roman" w:cs="Times New Roman"/>
        </w:rPr>
        <w:tab/>
        <w:t>Over 120 percent of the area's median income</w:t>
      </w:r>
    </w:p>
    <w:p w14:paraId="3815ABAB" w14:textId="77777777" w:rsidR="00E65DA7" w:rsidRPr="00E65DA7" w:rsidRDefault="00E65DA7" w:rsidP="00E65DA7">
      <w:pPr>
        <w:spacing w:after="0" w:line="280" w:lineRule="atLeast"/>
        <w:jc w:val="both"/>
        <w:rPr>
          <w:rFonts w:eastAsia="Times New Roman" w:cs="Times New Roman"/>
        </w:rPr>
      </w:pPr>
    </w:p>
    <w:p w14:paraId="3267A09B" w14:textId="77777777"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The median income for Mono County in 2013 was $79,600 (HCD, 2013 income limits). Income limits are adjusted depending on the number of people in the household.</w:t>
      </w:r>
    </w:p>
    <w:p w14:paraId="4C8919D9" w14:textId="77777777" w:rsidR="00E65DA7" w:rsidRDefault="00E65DA7" w:rsidP="00E65DA7">
      <w:pPr>
        <w:tabs>
          <w:tab w:val="left" w:pos="720"/>
        </w:tabs>
        <w:spacing w:after="0"/>
        <w:rPr>
          <w:b/>
        </w:rPr>
      </w:pPr>
    </w:p>
    <w:p w14:paraId="42B174DF" w14:textId="77777777" w:rsidR="00B255E0" w:rsidRDefault="00B255E0" w:rsidP="00B255E0">
      <w:r>
        <w:t>Table 23, Regional Housing Needs, Unincorporated Mono County, 2014-2019</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0"/>
        <w:gridCol w:w="2610"/>
        <w:gridCol w:w="3060"/>
      </w:tblGrid>
      <w:tr w:rsidR="00B255E0" w:rsidRPr="00C027C1" w14:paraId="4E4B6806" w14:textId="77777777" w:rsidTr="002B4CDA">
        <w:tc>
          <w:tcPr>
            <w:tcW w:w="2970" w:type="dxa"/>
            <w:shd w:val="clear" w:color="auto" w:fill="E6E6E6"/>
          </w:tcPr>
          <w:p w14:paraId="2CDD5D17" w14:textId="77777777" w:rsidR="00B255E0" w:rsidRPr="00C027C1" w:rsidRDefault="00B255E0" w:rsidP="002B4CDA">
            <w:pPr>
              <w:shd w:val="clear" w:color="auto" w:fill="E6E6E6"/>
              <w:spacing w:after="0" w:line="28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Income Group</w:t>
            </w:r>
          </w:p>
        </w:tc>
        <w:tc>
          <w:tcPr>
            <w:tcW w:w="2610" w:type="dxa"/>
            <w:shd w:val="clear" w:color="auto" w:fill="E6E6E6"/>
          </w:tcPr>
          <w:p w14:paraId="4348F92C" w14:textId="77777777" w:rsidR="00B255E0" w:rsidRPr="00C027C1" w:rsidRDefault="00B255E0" w:rsidP="002B4CDA">
            <w:pPr>
              <w:shd w:val="clear" w:color="auto" w:fill="E6E6E6"/>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Number</w:t>
            </w:r>
          </w:p>
        </w:tc>
        <w:tc>
          <w:tcPr>
            <w:tcW w:w="3060" w:type="dxa"/>
            <w:shd w:val="clear" w:color="auto" w:fill="E6E6E6"/>
          </w:tcPr>
          <w:p w14:paraId="618BE134" w14:textId="77777777" w:rsidR="00B255E0" w:rsidRPr="00C027C1" w:rsidRDefault="00B255E0" w:rsidP="002B4CDA">
            <w:pPr>
              <w:shd w:val="clear" w:color="auto" w:fill="E6E6E6"/>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Percent</w:t>
            </w:r>
          </w:p>
        </w:tc>
      </w:tr>
      <w:tr w:rsidR="00B255E0" w:rsidRPr="00C027C1" w14:paraId="29D8005D" w14:textId="77777777" w:rsidTr="002B4CDA">
        <w:tc>
          <w:tcPr>
            <w:tcW w:w="2970" w:type="dxa"/>
          </w:tcPr>
          <w:p w14:paraId="3DE289BE" w14:textId="77777777" w:rsidR="00B255E0" w:rsidRPr="00C027C1" w:rsidRDefault="00B255E0" w:rsidP="002B4CDA">
            <w:pPr>
              <w:spacing w:after="0" w:line="280" w:lineRule="atLeast"/>
              <w:jc w:val="both"/>
              <w:rPr>
                <w:rFonts w:ascii="Times New Roman" w:eastAsia="Times New Roman" w:hAnsi="Times New Roman" w:cs="Times New Roman"/>
                <w:szCs w:val="20"/>
              </w:rPr>
            </w:pPr>
            <w:r w:rsidRPr="00C027C1">
              <w:rPr>
                <w:rFonts w:ascii="Times New Roman" w:eastAsia="Times New Roman" w:hAnsi="Times New Roman" w:cs="Times New Roman"/>
                <w:szCs w:val="20"/>
              </w:rPr>
              <w:t>Extremely Low</w:t>
            </w:r>
          </w:p>
        </w:tc>
        <w:tc>
          <w:tcPr>
            <w:tcW w:w="2610" w:type="dxa"/>
          </w:tcPr>
          <w:p w14:paraId="36CB1684" w14:textId="77777777"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5 units</w:t>
            </w:r>
          </w:p>
        </w:tc>
        <w:tc>
          <w:tcPr>
            <w:tcW w:w="3060" w:type="dxa"/>
          </w:tcPr>
          <w:p w14:paraId="282B8D49" w14:textId="77777777"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11 %</w:t>
            </w:r>
          </w:p>
        </w:tc>
      </w:tr>
      <w:tr w:rsidR="00B255E0" w:rsidRPr="00C027C1" w14:paraId="63676A0C" w14:textId="77777777" w:rsidTr="002B4CDA">
        <w:tc>
          <w:tcPr>
            <w:tcW w:w="2970" w:type="dxa"/>
          </w:tcPr>
          <w:p w14:paraId="5E92B744" w14:textId="77777777"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Very Low</w:t>
            </w:r>
          </w:p>
        </w:tc>
        <w:tc>
          <w:tcPr>
            <w:tcW w:w="2610" w:type="dxa"/>
          </w:tcPr>
          <w:p w14:paraId="3D8D907B"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6 units</w:t>
            </w:r>
          </w:p>
        </w:tc>
        <w:tc>
          <w:tcPr>
            <w:tcW w:w="3060" w:type="dxa"/>
          </w:tcPr>
          <w:p w14:paraId="7AECA448"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13%</w:t>
            </w:r>
          </w:p>
        </w:tc>
      </w:tr>
      <w:tr w:rsidR="00B255E0" w:rsidRPr="00C027C1" w14:paraId="057EE994" w14:textId="77777777" w:rsidTr="002B4CDA">
        <w:tc>
          <w:tcPr>
            <w:tcW w:w="2970" w:type="dxa"/>
          </w:tcPr>
          <w:p w14:paraId="115C2CFF" w14:textId="77777777"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Low</w:t>
            </w:r>
          </w:p>
        </w:tc>
        <w:tc>
          <w:tcPr>
            <w:tcW w:w="2610" w:type="dxa"/>
          </w:tcPr>
          <w:p w14:paraId="1836F5ED"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7 units</w:t>
            </w:r>
          </w:p>
        </w:tc>
        <w:tc>
          <w:tcPr>
            <w:tcW w:w="3060" w:type="dxa"/>
          </w:tcPr>
          <w:p w14:paraId="0F853CEC"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15%</w:t>
            </w:r>
          </w:p>
        </w:tc>
      </w:tr>
      <w:tr w:rsidR="00B255E0" w:rsidRPr="00C027C1" w14:paraId="3F58317C" w14:textId="77777777" w:rsidTr="002B4CDA">
        <w:tc>
          <w:tcPr>
            <w:tcW w:w="2970" w:type="dxa"/>
          </w:tcPr>
          <w:p w14:paraId="70D37CF3" w14:textId="77777777"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Moderate</w:t>
            </w:r>
          </w:p>
        </w:tc>
        <w:tc>
          <w:tcPr>
            <w:tcW w:w="2610" w:type="dxa"/>
          </w:tcPr>
          <w:p w14:paraId="7C6D5A3A"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9 units</w:t>
            </w:r>
          </w:p>
        </w:tc>
        <w:tc>
          <w:tcPr>
            <w:tcW w:w="3060" w:type="dxa"/>
          </w:tcPr>
          <w:p w14:paraId="0A2B6F44"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20%</w:t>
            </w:r>
          </w:p>
        </w:tc>
      </w:tr>
      <w:tr w:rsidR="00B255E0" w:rsidRPr="00C027C1" w14:paraId="2A8CED36" w14:textId="77777777" w:rsidTr="002B4CDA">
        <w:tc>
          <w:tcPr>
            <w:tcW w:w="2970" w:type="dxa"/>
          </w:tcPr>
          <w:p w14:paraId="356F3B36" w14:textId="77777777"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Above Moderate</w:t>
            </w:r>
          </w:p>
        </w:tc>
        <w:tc>
          <w:tcPr>
            <w:tcW w:w="2610" w:type="dxa"/>
          </w:tcPr>
          <w:p w14:paraId="073F664E"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19 units</w:t>
            </w:r>
          </w:p>
        </w:tc>
        <w:tc>
          <w:tcPr>
            <w:tcW w:w="3060" w:type="dxa"/>
          </w:tcPr>
          <w:p w14:paraId="26447017"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41%</w:t>
            </w:r>
          </w:p>
        </w:tc>
      </w:tr>
      <w:tr w:rsidR="00B255E0" w:rsidRPr="00C027C1" w14:paraId="3880EF97" w14:textId="77777777" w:rsidTr="002B4CDA">
        <w:tc>
          <w:tcPr>
            <w:tcW w:w="2970" w:type="dxa"/>
          </w:tcPr>
          <w:p w14:paraId="7B74F5B3" w14:textId="77777777" w:rsidR="00B255E0" w:rsidRPr="00C027C1" w:rsidRDefault="00B255E0" w:rsidP="002B4CDA">
            <w:pPr>
              <w:spacing w:after="0" w:line="28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Total</w:t>
            </w:r>
          </w:p>
        </w:tc>
        <w:tc>
          <w:tcPr>
            <w:tcW w:w="2610" w:type="dxa"/>
          </w:tcPr>
          <w:p w14:paraId="5102C000" w14:textId="77777777" w:rsidR="00B255E0" w:rsidRPr="00C027C1" w:rsidRDefault="00B255E0" w:rsidP="002B4CDA">
            <w:pPr>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46 units</w:t>
            </w:r>
          </w:p>
        </w:tc>
        <w:tc>
          <w:tcPr>
            <w:tcW w:w="3060" w:type="dxa"/>
          </w:tcPr>
          <w:p w14:paraId="718C9018" w14:textId="77777777" w:rsidR="00B255E0" w:rsidRPr="00C027C1" w:rsidRDefault="00B255E0" w:rsidP="002B4CDA">
            <w:pPr>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100.0%</w:t>
            </w:r>
          </w:p>
        </w:tc>
      </w:tr>
      <w:tr w:rsidR="00B255E0" w:rsidRPr="00C027C1" w14:paraId="19907A71" w14:textId="77777777" w:rsidTr="002B4CDA">
        <w:tc>
          <w:tcPr>
            <w:tcW w:w="8640" w:type="dxa"/>
            <w:gridSpan w:val="3"/>
          </w:tcPr>
          <w:p w14:paraId="45744BE5" w14:textId="77777777" w:rsidR="00B255E0" w:rsidRPr="00C027C1" w:rsidRDefault="00B255E0" w:rsidP="002B4CDA">
            <w:pPr>
              <w:spacing w:after="0" w:line="280" w:lineRule="atLeast"/>
              <w:jc w:val="both"/>
              <w:rPr>
                <w:rFonts w:ascii="Palatino" w:eastAsia="Times New Roman" w:hAnsi="Palatino" w:cs="Times New Roman"/>
                <w:i/>
                <w:szCs w:val="20"/>
              </w:rPr>
            </w:pPr>
            <w:r w:rsidRPr="00C027C1">
              <w:rPr>
                <w:rFonts w:ascii="Times New Roman" w:eastAsia="Times New Roman" w:hAnsi="Times New Roman" w:cs="Times New Roman"/>
                <w:i/>
                <w:szCs w:val="20"/>
              </w:rPr>
              <w:t>Source:  HCD.</w:t>
            </w:r>
          </w:p>
        </w:tc>
      </w:tr>
    </w:tbl>
    <w:p w14:paraId="56B60A41" w14:textId="77777777" w:rsidR="00B255E0" w:rsidRDefault="00B255E0" w:rsidP="00E65DA7">
      <w:pPr>
        <w:spacing w:after="0" w:line="280" w:lineRule="atLeast"/>
        <w:jc w:val="both"/>
        <w:rPr>
          <w:rFonts w:eastAsia="Times New Roman" w:cs="Times New Roman"/>
        </w:rPr>
      </w:pPr>
    </w:p>
    <w:p w14:paraId="20B44B36" w14:textId="77777777" w:rsidR="00E65DA7" w:rsidRPr="00E65DA7" w:rsidRDefault="00E65DA7" w:rsidP="00E65DA7">
      <w:pPr>
        <w:spacing w:after="0" w:line="280" w:lineRule="atLeast"/>
        <w:jc w:val="both"/>
        <w:rPr>
          <w:rFonts w:eastAsia="Times New Roman" w:cs="Arial"/>
          <w:color w:val="000000"/>
          <w:lang w:bidi="en-US"/>
        </w:rPr>
      </w:pPr>
      <w:r w:rsidRPr="00E65DA7">
        <w:rPr>
          <w:rFonts w:eastAsia="Times New Roman" w:cs="Times New Roman"/>
        </w:rPr>
        <w:t xml:space="preserve">The Regional Housing Need allocated to the County by HCD included 11 units for Very Low-Income households.  However, Chapter 891, Statutes of 2006, requires the quantification and analysis of existing and projected housing needs for Extremely Low-Income (ELI) households. ELI is a subset of the very low-income group and is defined as 30 percent and below of the area’s median income.  To calculate projected ELI housing needs, the County assumed that 50 percent of its very low-income </w:t>
      </w:r>
      <w:r w:rsidRPr="00E65DA7">
        <w:rPr>
          <w:rFonts w:eastAsia="Times New Roman" w:cs="Arial"/>
        </w:rPr>
        <w:t>regional housing needs are extremely low-income households. As a result, from the very low-income need of 6 allocated by HCD, the County has projected a need of 5 units for extremely low-income households.</w:t>
      </w:r>
    </w:p>
    <w:p w14:paraId="3FB62A2A" w14:textId="77777777" w:rsidR="00E65DA7" w:rsidRPr="00E65DA7" w:rsidRDefault="00E65DA7" w:rsidP="00E65DA7">
      <w:pPr>
        <w:spacing w:after="0" w:line="280" w:lineRule="atLeast"/>
        <w:jc w:val="both"/>
        <w:rPr>
          <w:rFonts w:eastAsia="Times New Roman" w:cs="Times New Roman"/>
        </w:rPr>
      </w:pPr>
    </w:p>
    <w:p w14:paraId="4A7C550A" w14:textId="77777777"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Previously, Mono County allocated its overall regional housing needs to communities in the unincorporated area based on the percentage of the population in each community area.  Due to concerns in some communities over the arbitrary nature of such an allocation, the County has decided to no longer allocate its regional housing needs to community areas.  To address community concerns about the placement of housing for low- and very low-income households in community areas, the County has amended a program in the Housing Element to require the County to utilize a variety of factors, including current and projected population figures, economic conditions, transportation systems, the potential for rehabilitation, and the availability of utilities and infrastructure, when considering the placement of affordable housing throughout the County.</w:t>
      </w:r>
    </w:p>
    <w:p w14:paraId="1ED73AEC" w14:textId="77777777" w:rsidR="00E65DA7" w:rsidRPr="00E65DA7" w:rsidRDefault="00E65DA7" w:rsidP="00E65DA7">
      <w:pPr>
        <w:spacing w:after="0" w:line="280" w:lineRule="atLeast"/>
        <w:jc w:val="both"/>
        <w:rPr>
          <w:rFonts w:eastAsia="Times New Roman" w:cs="Times New Roman"/>
        </w:rPr>
      </w:pPr>
    </w:p>
    <w:p w14:paraId="41FC44DA" w14:textId="77777777" w:rsidR="00E65DA7" w:rsidRDefault="00E65DA7" w:rsidP="00E65DA7">
      <w:pPr>
        <w:tabs>
          <w:tab w:val="left" w:pos="720"/>
        </w:tabs>
        <w:rPr>
          <w:rFonts w:eastAsia="Times New Roman" w:cs="Times New Roman"/>
        </w:rPr>
      </w:pPr>
      <w:r w:rsidRPr="00E65DA7">
        <w:rPr>
          <w:rFonts w:eastAsia="Times New Roman" w:cs="Times New Roman"/>
        </w:rPr>
        <w:t>Table 24 shows the number of housing units by income group permitted in the unincorporated portion of Mono County between January 2007 and December 2013, based on actual sales prices, type of construction and size of the units constructed.</w:t>
      </w:r>
    </w:p>
    <w:p w14:paraId="05EA463A" w14:textId="77777777" w:rsidR="00B255E0" w:rsidRDefault="00B255E0" w:rsidP="00B255E0">
      <w:r>
        <w:t>Table 24, Units Constructed or Approved, Unincorporated Mono County, 2007-2013</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A0" w:firstRow="1" w:lastRow="0" w:firstColumn="1" w:lastColumn="0" w:noHBand="0" w:noVBand="0"/>
      </w:tblPr>
      <w:tblGrid>
        <w:gridCol w:w="1800"/>
        <w:gridCol w:w="3240"/>
        <w:gridCol w:w="3600"/>
      </w:tblGrid>
      <w:tr w:rsidR="00B255E0" w:rsidRPr="00C027C1" w14:paraId="3DB38EFD" w14:textId="77777777" w:rsidTr="002B4CDA">
        <w:tc>
          <w:tcPr>
            <w:tcW w:w="1800" w:type="dxa"/>
            <w:tcBorders>
              <w:bottom w:val="single" w:sz="4" w:space="0" w:color="auto"/>
            </w:tcBorders>
            <w:shd w:val="clear" w:color="auto" w:fill="E6E6E6"/>
          </w:tcPr>
          <w:p w14:paraId="0794C92F" w14:textId="77777777" w:rsidR="00B255E0" w:rsidRPr="00C027C1" w:rsidRDefault="00B255E0" w:rsidP="002B4CDA">
            <w:pPr>
              <w:spacing w:after="0" w:line="28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Income Group</w:t>
            </w:r>
          </w:p>
        </w:tc>
        <w:tc>
          <w:tcPr>
            <w:tcW w:w="3240" w:type="dxa"/>
            <w:tcBorders>
              <w:bottom w:val="single" w:sz="4" w:space="0" w:color="auto"/>
            </w:tcBorders>
            <w:shd w:val="clear" w:color="auto" w:fill="E6E6E6"/>
          </w:tcPr>
          <w:p w14:paraId="71F6C6B2" w14:textId="77777777" w:rsidR="00B255E0" w:rsidRPr="00C027C1" w:rsidRDefault="00B255E0" w:rsidP="002B4CDA">
            <w:pPr>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 of Units Constructed</w:t>
            </w:r>
          </w:p>
        </w:tc>
        <w:tc>
          <w:tcPr>
            <w:tcW w:w="3600" w:type="dxa"/>
            <w:tcBorders>
              <w:bottom w:val="single" w:sz="4" w:space="0" w:color="auto"/>
            </w:tcBorders>
            <w:shd w:val="clear" w:color="auto" w:fill="E6E6E6"/>
          </w:tcPr>
          <w:p w14:paraId="23318477" w14:textId="77777777" w:rsidR="00B255E0" w:rsidRPr="00C027C1" w:rsidRDefault="00B255E0" w:rsidP="002B4CDA">
            <w:pPr>
              <w:spacing w:after="0" w:line="280" w:lineRule="atLeast"/>
              <w:jc w:val="center"/>
              <w:rPr>
                <w:rFonts w:ascii="Times New Roman" w:eastAsia="Times New Roman" w:hAnsi="Times New Roman" w:cs="Times New Roman"/>
                <w:b/>
                <w:szCs w:val="20"/>
              </w:rPr>
            </w:pPr>
            <w:r w:rsidRPr="00C027C1">
              <w:rPr>
                <w:rFonts w:ascii="Times New Roman" w:eastAsia="Times New Roman" w:hAnsi="Times New Roman" w:cs="Times New Roman"/>
                <w:b/>
                <w:szCs w:val="20"/>
              </w:rPr>
              <w:t># of Units Approved</w:t>
            </w:r>
          </w:p>
        </w:tc>
      </w:tr>
      <w:tr w:rsidR="00B255E0" w:rsidRPr="00C027C1" w14:paraId="71773780" w14:textId="77777777" w:rsidTr="002B4CDA">
        <w:tc>
          <w:tcPr>
            <w:tcW w:w="1800" w:type="dxa"/>
            <w:shd w:val="clear" w:color="auto" w:fill="auto"/>
          </w:tcPr>
          <w:p w14:paraId="2C815DDF" w14:textId="77777777" w:rsidR="00B255E0" w:rsidRPr="00C027C1" w:rsidRDefault="00B255E0" w:rsidP="002B4CDA">
            <w:pPr>
              <w:spacing w:after="0" w:line="280" w:lineRule="atLeast"/>
              <w:jc w:val="both"/>
              <w:rPr>
                <w:rFonts w:ascii="Times New Roman" w:eastAsia="Times New Roman" w:hAnsi="Times New Roman" w:cs="Times New Roman"/>
                <w:szCs w:val="20"/>
              </w:rPr>
            </w:pPr>
            <w:r w:rsidRPr="00C027C1">
              <w:rPr>
                <w:rFonts w:ascii="Times New Roman" w:eastAsia="Times New Roman" w:hAnsi="Times New Roman" w:cs="Times New Roman"/>
                <w:szCs w:val="20"/>
              </w:rPr>
              <w:t>Extremely Low</w:t>
            </w:r>
          </w:p>
        </w:tc>
        <w:tc>
          <w:tcPr>
            <w:tcW w:w="3240" w:type="dxa"/>
            <w:shd w:val="clear" w:color="auto" w:fill="auto"/>
          </w:tcPr>
          <w:p w14:paraId="79FB054E"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c>
          <w:tcPr>
            <w:tcW w:w="3600" w:type="dxa"/>
            <w:shd w:val="clear" w:color="auto" w:fill="auto"/>
          </w:tcPr>
          <w:p w14:paraId="2E07849D" w14:textId="77777777"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0</w:t>
            </w:r>
          </w:p>
        </w:tc>
      </w:tr>
      <w:tr w:rsidR="00B255E0" w:rsidRPr="00C027C1" w14:paraId="0829C4B6" w14:textId="77777777" w:rsidTr="002B4CDA">
        <w:tc>
          <w:tcPr>
            <w:tcW w:w="1800" w:type="dxa"/>
            <w:shd w:val="clear" w:color="auto" w:fill="auto"/>
          </w:tcPr>
          <w:p w14:paraId="059919BF" w14:textId="77777777"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Very Low</w:t>
            </w:r>
          </w:p>
        </w:tc>
        <w:tc>
          <w:tcPr>
            <w:tcW w:w="3240" w:type="dxa"/>
            <w:shd w:val="clear" w:color="auto" w:fill="auto"/>
          </w:tcPr>
          <w:p w14:paraId="5D7D6BC2"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1</w:t>
            </w:r>
          </w:p>
        </w:tc>
        <w:tc>
          <w:tcPr>
            <w:tcW w:w="3600" w:type="dxa"/>
            <w:shd w:val="clear" w:color="auto" w:fill="auto"/>
          </w:tcPr>
          <w:p w14:paraId="2F9BD43C" w14:textId="77777777"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0</w:t>
            </w:r>
          </w:p>
        </w:tc>
      </w:tr>
      <w:tr w:rsidR="00B255E0" w:rsidRPr="00C027C1" w14:paraId="437DC4DC" w14:textId="77777777" w:rsidTr="002B4CDA">
        <w:tc>
          <w:tcPr>
            <w:tcW w:w="1800" w:type="dxa"/>
            <w:shd w:val="clear" w:color="auto" w:fill="auto"/>
          </w:tcPr>
          <w:p w14:paraId="456C3576" w14:textId="77777777"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Low</w:t>
            </w:r>
          </w:p>
        </w:tc>
        <w:tc>
          <w:tcPr>
            <w:tcW w:w="3240" w:type="dxa"/>
            <w:shd w:val="clear" w:color="auto" w:fill="auto"/>
          </w:tcPr>
          <w:p w14:paraId="634BC44F"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12</w:t>
            </w:r>
          </w:p>
        </w:tc>
        <w:tc>
          <w:tcPr>
            <w:tcW w:w="3600" w:type="dxa"/>
            <w:shd w:val="clear" w:color="auto" w:fill="auto"/>
          </w:tcPr>
          <w:p w14:paraId="6CB6FFBC" w14:textId="77777777"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36</w:t>
            </w:r>
          </w:p>
        </w:tc>
      </w:tr>
      <w:tr w:rsidR="00B255E0" w:rsidRPr="00C027C1" w14:paraId="5E9C1000" w14:textId="77777777" w:rsidTr="002B4CDA">
        <w:tc>
          <w:tcPr>
            <w:tcW w:w="1800" w:type="dxa"/>
            <w:shd w:val="clear" w:color="auto" w:fill="auto"/>
          </w:tcPr>
          <w:p w14:paraId="4AF6059C" w14:textId="77777777"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Moderate</w:t>
            </w:r>
          </w:p>
        </w:tc>
        <w:tc>
          <w:tcPr>
            <w:tcW w:w="3240" w:type="dxa"/>
            <w:shd w:val="clear" w:color="auto" w:fill="auto"/>
          </w:tcPr>
          <w:p w14:paraId="5B421BC5"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30</w:t>
            </w:r>
          </w:p>
        </w:tc>
        <w:tc>
          <w:tcPr>
            <w:tcW w:w="3600" w:type="dxa"/>
            <w:shd w:val="clear" w:color="auto" w:fill="auto"/>
          </w:tcPr>
          <w:p w14:paraId="12303633" w14:textId="77777777"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0</w:t>
            </w:r>
          </w:p>
        </w:tc>
      </w:tr>
      <w:tr w:rsidR="00B255E0" w:rsidRPr="00C027C1" w14:paraId="7246798E" w14:textId="77777777" w:rsidTr="002B4CDA">
        <w:tc>
          <w:tcPr>
            <w:tcW w:w="1800" w:type="dxa"/>
            <w:shd w:val="clear" w:color="auto" w:fill="auto"/>
          </w:tcPr>
          <w:p w14:paraId="241EC929" w14:textId="77777777" w:rsidR="00B255E0" w:rsidRPr="00C027C1" w:rsidRDefault="00B255E0" w:rsidP="002B4CDA">
            <w:pPr>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Above Moderate</w:t>
            </w:r>
          </w:p>
        </w:tc>
        <w:tc>
          <w:tcPr>
            <w:tcW w:w="3240" w:type="dxa"/>
            <w:shd w:val="clear" w:color="auto" w:fill="auto"/>
          </w:tcPr>
          <w:p w14:paraId="4C17F8B8" w14:textId="77777777" w:rsidR="00B255E0" w:rsidRPr="00C027C1" w:rsidRDefault="00B255E0" w:rsidP="002B4CDA">
            <w:pPr>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83</w:t>
            </w:r>
          </w:p>
        </w:tc>
        <w:tc>
          <w:tcPr>
            <w:tcW w:w="3600" w:type="dxa"/>
            <w:shd w:val="clear" w:color="auto" w:fill="auto"/>
          </w:tcPr>
          <w:p w14:paraId="4EAD87FB" w14:textId="77777777" w:rsidR="00B255E0" w:rsidRPr="00C027C1" w:rsidRDefault="00B255E0" w:rsidP="002B4CDA">
            <w:pPr>
              <w:spacing w:after="0" w:line="28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0</w:t>
            </w:r>
          </w:p>
        </w:tc>
      </w:tr>
      <w:tr w:rsidR="00B255E0" w:rsidRPr="00C027C1" w14:paraId="1F3C38CB" w14:textId="77777777" w:rsidTr="002B4CDA">
        <w:tc>
          <w:tcPr>
            <w:tcW w:w="1800" w:type="dxa"/>
            <w:shd w:val="clear" w:color="auto" w:fill="auto"/>
          </w:tcPr>
          <w:p w14:paraId="14B22078" w14:textId="77777777" w:rsidR="00B255E0" w:rsidRPr="00C027C1" w:rsidRDefault="00B255E0" w:rsidP="002B4CDA">
            <w:pPr>
              <w:spacing w:after="0" w:line="28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Total</w:t>
            </w:r>
          </w:p>
        </w:tc>
        <w:tc>
          <w:tcPr>
            <w:tcW w:w="3240" w:type="dxa"/>
            <w:shd w:val="clear" w:color="auto" w:fill="auto"/>
          </w:tcPr>
          <w:p w14:paraId="10945405" w14:textId="77777777" w:rsidR="00B255E0" w:rsidRPr="00C027C1" w:rsidRDefault="00B255E0" w:rsidP="002B4CDA">
            <w:pPr>
              <w:spacing w:after="0" w:line="280" w:lineRule="atLeast"/>
              <w:jc w:val="center"/>
              <w:rPr>
                <w:rFonts w:ascii="Palatino" w:eastAsia="Times New Roman" w:hAnsi="Palatino" w:cs="Times New Roman"/>
                <w:b/>
                <w:szCs w:val="20"/>
              </w:rPr>
            </w:pPr>
            <w:r w:rsidRPr="00C027C1">
              <w:rPr>
                <w:rFonts w:ascii="Palatino" w:eastAsia="Times New Roman" w:hAnsi="Palatino" w:cs="Times New Roman"/>
                <w:b/>
                <w:szCs w:val="20"/>
              </w:rPr>
              <w:t>126</w:t>
            </w:r>
          </w:p>
        </w:tc>
        <w:tc>
          <w:tcPr>
            <w:tcW w:w="3600" w:type="dxa"/>
            <w:shd w:val="clear" w:color="auto" w:fill="auto"/>
          </w:tcPr>
          <w:p w14:paraId="2567EEAD" w14:textId="77777777" w:rsidR="00B255E0" w:rsidRPr="00C027C1" w:rsidRDefault="00B255E0" w:rsidP="002B4CDA">
            <w:pPr>
              <w:spacing w:after="0" w:line="280" w:lineRule="atLeast"/>
              <w:jc w:val="center"/>
              <w:rPr>
                <w:rFonts w:ascii="Times New Roman" w:eastAsia="Times New Roman" w:hAnsi="Times New Roman" w:cs="Times New Roman"/>
                <w:b/>
                <w:szCs w:val="20"/>
              </w:rPr>
            </w:pPr>
            <w:r w:rsidRPr="00C027C1">
              <w:rPr>
                <w:rFonts w:ascii="Times New Roman" w:eastAsia="Times New Roman" w:hAnsi="Times New Roman" w:cs="Times New Roman"/>
                <w:b/>
                <w:szCs w:val="20"/>
              </w:rPr>
              <w:t>36</w:t>
            </w:r>
          </w:p>
        </w:tc>
      </w:tr>
      <w:tr w:rsidR="00B255E0" w:rsidRPr="00C027C1" w14:paraId="25F0A0C0" w14:textId="77777777" w:rsidTr="002B4CDA">
        <w:tc>
          <w:tcPr>
            <w:tcW w:w="8640" w:type="dxa"/>
            <w:gridSpan w:val="3"/>
            <w:shd w:val="clear" w:color="auto" w:fill="auto"/>
          </w:tcPr>
          <w:p w14:paraId="645B8455" w14:textId="77777777" w:rsidR="00B255E0" w:rsidRPr="00C027C1" w:rsidRDefault="00B255E0" w:rsidP="002B4CDA">
            <w:pPr>
              <w:spacing w:after="0" w:line="280" w:lineRule="atLeast"/>
              <w:jc w:val="both"/>
              <w:rPr>
                <w:rFonts w:ascii="Palatino" w:eastAsia="Times New Roman" w:hAnsi="Palatino" w:cs="Times New Roman"/>
                <w:i/>
                <w:szCs w:val="20"/>
              </w:rPr>
            </w:pPr>
            <w:r w:rsidRPr="00C027C1">
              <w:rPr>
                <w:rFonts w:ascii="Times New Roman" w:eastAsia="Times New Roman" w:hAnsi="Times New Roman" w:cs="Times New Roman"/>
                <w:i/>
                <w:szCs w:val="20"/>
              </w:rPr>
              <w:t>Source:  Mono County Community Development Department.</w:t>
            </w:r>
          </w:p>
        </w:tc>
      </w:tr>
    </w:tbl>
    <w:p w14:paraId="1B53A07F" w14:textId="77777777" w:rsidR="00B255E0" w:rsidRDefault="00B255E0" w:rsidP="00E65DA7">
      <w:pPr>
        <w:spacing w:after="0" w:line="280" w:lineRule="atLeast"/>
        <w:jc w:val="both"/>
        <w:rPr>
          <w:rFonts w:eastAsia="Times New Roman" w:cs="Times New Roman"/>
        </w:rPr>
      </w:pPr>
    </w:p>
    <w:p w14:paraId="7240EB32" w14:textId="77777777" w:rsidR="00E65DA7" w:rsidRDefault="00E65DA7" w:rsidP="00E65DA7">
      <w:pPr>
        <w:spacing w:after="0" w:line="280" w:lineRule="atLeast"/>
        <w:jc w:val="both"/>
        <w:rPr>
          <w:rFonts w:eastAsia="Times New Roman" w:cs="Times New Roman"/>
        </w:rPr>
      </w:pPr>
      <w:r w:rsidRPr="00E65DA7">
        <w:rPr>
          <w:rFonts w:eastAsia="Times New Roman" w:cs="Times New Roman"/>
        </w:rPr>
        <w:t xml:space="preserve">Table 25 shows the progress Mono County has made during 2007-2013 in meeting its regional housing need and the number of units still required in each income group to meet its identified regional housing need for the planning period. </w:t>
      </w:r>
    </w:p>
    <w:p w14:paraId="3F8BCCCF" w14:textId="77777777" w:rsidR="00E65DA7" w:rsidRDefault="00E65DA7" w:rsidP="00E65DA7">
      <w:pPr>
        <w:spacing w:after="0" w:line="280" w:lineRule="atLeast"/>
        <w:jc w:val="both"/>
        <w:rPr>
          <w:rFonts w:eastAsia="Times New Roman" w:cs="Times New Roman"/>
          <w:b/>
        </w:rPr>
      </w:pPr>
    </w:p>
    <w:p w14:paraId="713CED8C" w14:textId="77777777" w:rsidR="00B255E0" w:rsidRDefault="00B255E0" w:rsidP="00B255E0">
      <w:r>
        <w:t>Table 25, Progress Toward the Regional Housing Need, Unincorporated Mono County, 2007-2013</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1980"/>
        <w:gridCol w:w="2070"/>
        <w:gridCol w:w="2520"/>
      </w:tblGrid>
      <w:tr w:rsidR="00B255E0" w:rsidRPr="00C027C1" w14:paraId="5E2FCAE1" w14:textId="77777777" w:rsidTr="002B4CDA">
        <w:tc>
          <w:tcPr>
            <w:tcW w:w="2250" w:type="dxa"/>
            <w:shd w:val="clear" w:color="auto" w:fill="E6E6E6"/>
          </w:tcPr>
          <w:p w14:paraId="49721795" w14:textId="77777777" w:rsidR="00B255E0" w:rsidRPr="00C027C1" w:rsidRDefault="00B255E0" w:rsidP="002B4CDA">
            <w:pPr>
              <w:spacing w:after="0" w:line="240" w:lineRule="atLeast"/>
              <w:jc w:val="both"/>
              <w:rPr>
                <w:rFonts w:ascii="Times New Roman" w:eastAsia="Times New Roman" w:hAnsi="Times New Roman" w:cs="Times New Roman"/>
                <w:b/>
                <w:szCs w:val="20"/>
              </w:rPr>
            </w:pPr>
          </w:p>
          <w:p w14:paraId="38FF958E" w14:textId="77777777" w:rsidR="00B255E0" w:rsidRPr="00C027C1" w:rsidRDefault="00B255E0" w:rsidP="002B4CDA">
            <w:pPr>
              <w:spacing w:after="0" w:line="24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Income Group</w:t>
            </w:r>
          </w:p>
        </w:tc>
        <w:tc>
          <w:tcPr>
            <w:tcW w:w="1980" w:type="dxa"/>
            <w:shd w:val="clear" w:color="auto" w:fill="E6E6E6"/>
          </w:tcPr>
          <w:p w14:paraId="40194E0A" w14:textId="77777777" w:rsidR="00B255E0" w:rsidRPr="00C027C1" w:rsidRDefault="00B255E0" w:rsidP="002B4CDA">
            <w:pPr>
              <w:spacing w:after="0" w:line="24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Regional Housing Need</w:t>
            </w:r>
          </w:p>
        </w:tc>
        <w:tc>
          <w:tcPr>
            <w:tcW w:w="2070" w:type="dxa"/>
            <w:shd w:val="clear" w:color="auto" w:fill="E6E6E6"/>
          </w:tcPr>
          <w:p w14:paraId="25D3AD3A" w14:textId="77777777" w:rsidR="00B255E0" w:rsidRPr="00C027C1" w:rsidRDefault="00B255E0" w:rsidP="002B4CDA">
            <w:pPr>
              <w:spacing w:after="0" w:line="240" w:lineRule="atLeast"/>
              <w:jc w:val="center"/>
              <w:rPr>
                <w:rFonts w:ascii="Times New Roman" w:eastAsia="Times New Roman" w:hAnsi="Times New Roman" w:cs="Times New Roman"/>
                <w:b/>
                <w:szCs w:val="20"/>
              </w:rPr>
            </w:pPr>
            <w:r w:rsidRPr="00C027C1">
              <w:rPr>
                <w:rFonts w:ascii="Times New Roman" w:eastAsia="Times New Roman" w:hAnsi="Times New Roman" w:cs="Times New Roman"/>
                <w:b/>
                <w:szCs w:val="20"/>
              </w:rPr>
              <w:t>Units</w:t>
            </w:r>
          </w:p>
          <w:p w14:paraId="44A94A82" w14:textId="77777777" w:rsidR="00B255E0" w:rsidRPr="00C027C1" w:rsidRDefault="00B255E0" w:rsidP="002B4CDA">
            <w:pPr>
              <w:spacing w:after="0" w:line="24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Constructed</w:t>
            </w:r>
          </w:p>
        </w:tc>
        <w:tc>
          <w:tcPr>
            <w:tcW w:w="2520" w:type="dxa"/>
            <w:shd w:val="clear" w:color="auto" w:fill="E6E6E6"/>
          </w:tcPr>
          <w:p w14:paraId="2D9C3F29" w14:textId="77777777" w:rsidR="00B255E0" w:rsidRPr="00C027C1" w:rsidRDefault="00B255E0" w:rsidP="002B4CDA">
            <w:pPr>
              <w:spacing w:after="0" w:line="24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Remaining Housing Need</w:t>
            </w:r>
          </w:p>
        </w:tc>
      </w:tr>
      <w:tr w:rsidR="00B255E0" w:rsidRPr="00C027C1" w14:paraId="21684997" w14:textId="77777777" w:rsidTr="002B4CDA">
        <w:tc>
          <w:tcPr>
            <w:tcW w:w="2250" w:type="dxa"/>
          </w:tcPr>
          <w:p w14:paraId="6A870269" w14:textId="77777777" w:rsidR="00B255E0" w:rsidRPr="00C027C1" w:rsidRDefault="00B255E0" w:rsidP="002B4CDA">
            <w:pPr>
              <w:spacing w:after="0" w:line="240" w:lineRule="atLeast"/>
              <w:jc w:val="both"/>
              <w:rPr>
                <w:rFonts w:ascii="Times New Roman" w:eastAsia="Times New Roman" w:hAnsi="Times New Roman" w:cs="Times New Roman"/>
                <w:szCs w:val="20"/>
              </w:rPr>
            </w:pPr>
            <w:r w:rsidRPr="00C027C1">
              <w:rPr>
                <w:rFonts w:ascii="Times New Roman" w:eastAsia="Times New Roman" w:hAnsi="Times New Roman" w:cs="Times New Roman"/>
                <w:szCs w:val="20"/>
              </w:rPr>
              <w:t>Extremely Low</w:t>
            </w:r>
          </w:p>
        </w:tc>
        <w:tc>
          <w:tcPr>
            <w:tcW w:w="1980" w:type="dxa"/>
          </w:tcPr>
          <w:p w14:paraId="58746CD4" w14:textId="77777777" w:rsidR="00B255E0" w:rsidRPr="00C027C1" w:rsidRDefault="00B255E0" w:rsidP="002B4CDA">
            <w:pPr>
              <w:spacing w:after="0" w:line="240" w:lineRule="atLeast"/>
              <w:jc w:val="center"/>
              <w:rPr>
                <w:rFonts w:ascii="Times New Roman" w:eastAsia="Times New Roman" w:hAnsi="Times New Roman" w:cs="Times New Roman"/>
                <w:szCs w:val="20"/>
              </w:rPr>
            </w:pPr>
            <w:r w:rsidRPr="00C027C1">
              <w:rPr>
                <w:rFonts w:ascii="Times New Roman" w:eastAsia="Times New Roman" w:hAnsi="Times New Roman" w:cs="Times New Roman"/>
                <w:szCs w:val="20"/>
              </w:rPr>
              <w:t>29 units</w:t>
            </w:r>
          </w:p>
        </w:tc>
        <w:tc>
          <w:tcPr>
            <w:tcW w:w="2070" w:type="dxa"/>
          </w:tcPr>
          <w:p w14:paraId="057FF66F"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c>
          <w:tcPr>
            <w:tcW w:w="2520" w:type="dxa"/>
          </w:tcPr>
          <w:p w14:paraId="191DA5A4"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29</w:t>
            </w:r>
          </w:p>
        </w:tc>
      </w:tr>
      <w:tr w:rsidR="00B255E0" w:rsidRPr="00C027C1" w14:paraId="28FF4A13" w14:textId="77777777" w:rsidTr="002B4CDA">
        <w:tc>
          <w:tcPr>
            <w:tcW w:w="2250" w:type="dxa"/>
          </w:tcPr>
          <w:p w14:paraId="38DBE47F" w14:textId="77777777" w:rsidR="00B255E0" w:rsidRPr="00C027C1" w:rsidRDefault="00B255E0" w:rsidP="002B4CDA">
            <w:pPr>
              <w:spacing w:after="0" w:line="24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Very Low</w:t>
            </w:r>
          </w:p>
        </w:tc>
        <w:tc>
          <w:tcPr>
            <w:tcW w:w="1980" w:type="dxa"/>
          </w:tcPr>
          <w:p w14:paraId="66D9B047"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30 units</w:t>
            </w:r>
          </w:p>
        </w:tc>
        <w:tc>
          <w:tcPr>
            <w:tcW w:w="2070" w:type="dxa"/>
          </w:tcPr>
          <w:p w14:paraId="484C9352"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1</w:t>
            </w:r>
          </w:p>
        </w:tc>
        <w:tc>
          <w:tcPr>
            <w:tcW w:w="2520" w:type="dxa"/>
          </w:tcPr>
          <w:p w14:paraId="3CBC9079"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29</w:t>
            </w:r>
          </w:p>
        </w:tc>
      </w:tr>
      <w:tr w:rsidR="00B255E0" w:rsidRPr="00C027C1" w14:paraId="1CD6EE05" w14:textId="77777777" w:rsidTr="002B4CDA">
        <w:tc>
          <w:tcPr>
            <w:tcW w:w="2250" w:type="dxa"/>
          </w:tcPr>
          <w:p w14:paraId="64C985C1" w14:textId="77777777" w:rsidR="00B255E0" w:rsidRPr="00C027C1" w:rsidRDefault="00B255E0" w:rsidP="002B4CDA">
            <w:pPr>
              <w:spacing w:after="0" w:line="24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Low</w:t>
            </w:r>
          </w:p>
        </w:tc>
        <w:tc>
          <w:tcPr>
            <w:tcW w:w="1980" w:type="dxa"/>
          </w:tcPr>
          <w:p w14:paraId="221D2890"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59 units</w:t>
            </w:r>
          </w:p>
        </w:tc>
        <w:tc>
          <w:tcPr>
            <w:tcW w:w="2070" w:type="dxa"/>
          </w:tcPr>
          <w:p w14:paraId="53A9E1EC"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12</w:t>
            </w:r>
          </w:p>
        </w:tc>
        <w:tc>
          <w:tcPr>
            <w:tcW w:w="2520" w:type="dxa"/>
          </w:tcPr>
          <w:p w14:paraId="374CEAC2"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47</w:t>
            </w:r>
          </w:p>
        </w:tc>
      </w:tr>
      <w:tr w:rsidR="00B255E0" w:rsidRPr="00C027C1" w14:paraId="40157042" w14:textId="77777777" w:rsidTr="002B4CDA">
        <w:tc>
          <w:tcPr>
            <w:tcW w:w="2250" w:type="dxa"/>
          </w:tcPr>
          <w:p w14:paraId="7C75EB9D" w14:textId="77777777" w:rsidR="00B255E0" w:rsidRPr="00C027C1" w:rsidRDefault="00B255E0" w:rsidP="002B4CDA">
            <w:pPr>
              <w:spacing w:after="0" w:line="24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Moderate</w:t>
            </w:r>
          </w:p>
        </w:tc>
        <w:tc>
          <w:tcPr>
            <w:tcW w:w="1980" w:type="dxa"/>
          </w:tcPr>
          <w:p w14:paraId="52DCCFE8"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58 units</w:t>
            </w:r>
          </w:p>
        </w:tc>
        <w:tc>
          <w:tcPr>
            <w:tcW w:w="2070" w:type="dxa"/>
          </w:tcPr>
          <w:p w14:paraId="7C20EA71"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30</w:t>
            </w:r>
          </w:p>
        </w:tc>
        <w:tc>
          <w:tcPr>
            <w:tcW w:w="2520" w:type="dxa"/>
          </w:tcPr>
          <w:p w14:paraId="15CEF839"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28</w:t>
            </w:r>
          </w:p>
        </w:tc>
      </w:tr>
      <w:tr w:rsidR="00B255E0" w:rsidRPr="00C027C1" w14:paraId="4A5C3608" w14:textId="77777777" w:rsidTr="002B4CDA">
        <w:tc>
          <w:tcPr>
            <w:tcW w:w="2250" w:type="dxa"/>
          </w:tcPr>
          <w:p w14:paraId="11806DBE" w14:textId="77777777" w:rsidR="00B255E0" w:rsidRPr="00C027C1" w:rsidRDefault="00B255E0" w:rsidP="002B4CDA">
            <w:pPr>
              <w:spacing w:after="0" w:line="24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Above Moderate</w:t>
            </w:r>
          </w:p>
        </w:tc>
        <w:tc>
          <w:tcPr>
            <w:tcW w:w="1980" w:type="dxa"/>
          </w:tcPr>
          <w:p w14:paraId="06FEDCBB"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116 units</w:t>
            </w:r>
          </w:p>
        </w:tc>
        <w:tc>
          <w:tcPr>
            <w:tcW w:w="2070" w:type="dxa"/>
          </w:tcPr>
          <w:p w14:paraId="7A66A914"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83</w:t>
            </w:r>
          </w:p>
        </w:tc>
        <w:tc>
          <w:tcPr>
            <w:tcW w:w="2520" w:type="dxa"/>
          </w:tcPr>
          <w:p w14:paraId="4F71587B"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33</w:t>
            </w:r>
          </w:p>
        </w:tc>
      </w:tr>
      <w:tr w:rsidR="00B255E0" w:rsidRPr="00C027C1" w14:paraId="3D4D8228" w14:textId="77777777" w:rsidTr="002B4CDA">
        <w:tc>
          <w:tcPr>
            <w:tcW w:w="2250" w:type="dxa"/>
          </w:tcPr>
          <w:p w14:paraId="4E91B875" w14:textId="77777777" w:rsidR="00B255E0" w:rsidRPr="00C027C1" w:rsidRDefault="00B255E0" w:rsidP="002B4CDA">
            <w:pPr>
              <w:spacing w:after="0" w:line="24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Total</w:t>
            </w:r>
          </w:p>
        </w:tc>
        <w:tc>
          <w:tcPr>
            <w:tcW w:w="1980" w:type="dxa"/>
          </w:tcPr>
          <w:p w14:paraId="475E3B64"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Times New Roman" w:eastAsia="Times New Roman" w:hAnsi="Times New Roman" w:cs="Times New Roman"/>
                <w:szCs w:val="20"/>
              </w:rPr>
              <w:t>292 units</w:t>
            </w:r>
          </w:p>
        </w:tc>
        <w:tc>
          <w:tcPr>
            <w:tcW w:w="2070" w:type="dxa"/>
          </w:tcPr>
          <w:p w14:paraId="051951D5"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126</w:t>
            </w:r>
          </w:p>
        </w:tc>
        <w:tc>
          <w:tcPr>
            <w:tcW w:w="2520" w:type="dxa"/>
          </w:tcPr>
          <w:p w14:paraId="37651E70" w14:textId="77777777" w:rsidR="00B255E0" w:rsidRPr="00C027C1" w:rsidRDefault="00B255E0" w:rsidP="002B4CDA">
            <w:pPr>
              <w:spacing w:after="0" w:line="240" w:lineRule="atLeast"/>
              <w:jc w:val="center"/>
              <w:rPr>
                <w:rFonts w:ascii="Palatino" w:eastAsia="Times New Roman" w:hAnsi="Palatino" w:cs="Times New Roman"/>
                <w:szCs w:val="20"/>
              </w:rPr>
            </w:pPr>
            <w:r w:rsidRPr="00C027C1">
              <w:rPr>
                <w:rFonts w:ascii="Palatino" w:eastAsia="Times New Roman" w:hAnsi="Palatino" w:cs="Times New Roman"/>
                <w:szCs w:val="20"/>
              </w:rPr>
              <w:t>166</w:t>
            </w:r>
          </w:p>
        </w:tc>
      </w:tr>
      <w:tr w:rsidR="00B255E0" w:rsidRPr="00C027C1" w14:paraId="17D8412B" w14:textId="77777777" w:rsidTr="002B4CDA">
        <w:tc>
          <w:tcPr>
            <w:tcW w:w="8820" w:type="dxa"/>
            <w:gridSpan w:val="4"/>
          </w:tcPr>
          <w:p w14:paraId="61871FB5" w14:textId="77777777" w:rsidR="00B255E0" w:rsidRPr="00C027C1" w:rsidRDefault="00B255E0" w:rsidP="002B4CDA">
            <w:pPr>
              <w:spacing w:after="0" w:line="240" w:lineRule="atLeast"/>
              <w:jc w:val="both"/>
              <w:rPr>
                <w:rFonts w:ascii="Palatino" w:eastAsia="Times New Roman" w:hAnsi="Palatino" w:cs="Times New Roman"/>
                <w:i/>
                <w:szCs w:val="20"/>
              </w:rPr>
            </w:pPr>
            <w:r w:rsidRPr="00C027C1">
              <w:rPr>
                <w:rFonts w:ascii="Times New Roman" w:eastAsia="Times New Roman" w:hAnsi="Times New Roman" w:cs="Times New Roman"/>
                <w:i/>
                <w:szCs w:val="20"/>
              </w:rPr>
              <w:t>Sources:  Mono County Community Development Dept, HCD – Regional Housing Need Plan.</w:t>
            </w:r>
          </w:p>
        </w:tc>
      </w:tr>
    </w:tbl>
    <w:p w14:paraId="5E48BD00" w14:textId="77777777" w:rsidR="00E65DA7" w:rsidRDefault="00E65DA7" w:rsidP="00E65DA7">
      <w:pPr>
        <w:spacing w:after="0" w:line="240" w:lineRule="atLeast"/>
        <w:jc w:val="both"/>
        <w:rPr>
          <w:rFonts w:eastAsia="Times New Roman" w:cs="Times New Roman"/>
        </w:rPr>
      </w:pPr>
    </w:p>
    <w:p w14:paraId="2787938D" w14:textId="77777777" w:rsidR="00E65DA7" w:rsidRPr="00E65DA7" w:rsidRDefault="002E1FEA" w:rsidP="00EF449A">
      <w:pPr>
        <w:pStyle w:val="Heading3"/>
      </w:pPr>
      <w:bookmarkStart w:id="139" w:name="_Toc383700019"/>
      <w:r>
        <w:t xml:space="preserve">b. </w:t>
      </w:r>
      <w:r w:rsidR="00E65DA7" w:rsidRPr="00E65DA7">
        <w:t>QUANTIFIED OBJECTIVES</w:t>
      </w:r>
      <w:bookmarkEnd w:id="139"/>
      <w:r w:rsidR="00E65DA7" w:rsidRPr="00E65DA7">
        <w:fldChar w:fldCharType="begin"/>
      </w:r>
      <w:r w:rsidR="00E65DA7" w:rsidRPr="00E65DA7">
        <w:instrText xml:space="preserve"> TC"</w:instrText>
      </w:r>
      <w:bookmarkStart w:id="140" w:name="_Toc53806499"/>
      <w:bookmarkStart w:id="141" w:name="_Toc66156099"/>
      <w:bookmarkStart w:id="142" w:name="_Toc76444021"/>
      <w:bookmarkStart w:id="143" w:name="_Toc123887113"/>
      <w:r w:rsidR="00E65DA7" w:rsidRPr="00E65DA7">
        <w:instrText>Quantified Objectives</w:instrText>
      </w:r>
      <w:bookmarkEnd w:id="140"/>
      <w:bookmarkEnd w:id="141"/>
      <w:bookmarkEnd w:id="142"/>
      <w:bookmarkEnd w:id="143"/>
      <w:r w:rsidR="00E65DA7" w:rsidRPr="00E65DA7">
        <w:instrText xml:space="preserve">"\l 3 </w:instrText>
      </w:r>
      <w:r w:rsidR="00E65DA7" w:rsidRPr="00E65DA7">
        <w:fldChar w:fldCharType="end"/>
      </w:r>
    </w:p>
    <w:p w14:paraId="173446F1" w14:textId="77777777"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 xml:space="preserve">Table 26 presents Mono County's quantified housing objectives for the planning period. Housing starts have continued to be very slow.  During the early 2000s, the County experienced explosive growth in new residential construction, meeting much of the County's identified regional housing need by new construction. Over the past seven years, housing starts have dropped dramatically from a high of nearly 80 units in 2005 to averaging only 13 units per year for the past 5 years.  The County has approved several large subdivisions during the previous period that will fulfill part of the regional needs for moderate to above moderate housing.  </w:t>
      </w:r>
    </w:p>
    <w:p w14:paraId="4B92404D" w14:textId="77777777" w:rsidR="00E65DA7" w:rsidRPr="00E65DA7" w:rsidRDefault="00E65DA7" w:rsidP="00E65DA7">
      <w:pPr>
        <w:tabs>
          <w:tab w:val="left" w:pos="720"/>
        </w:tabs>
        <w:rPr>
          <w:rFonts w:eastAsia="Times New Roman" w:cs="Times New Roman"/>
        </w:rPr>
      </w:pPr>
    </w:p>
    <w:p w14:paraId="44B99F04" w14:textId="77777777" w:rsidR="00B255E0" w:rsidRDefault="00B255E0" w:rsidP="00E65DA7">
      <w:pPr>
        <w:tabs>
          <w:tab w:val="left" w:pos="-720"/>
        </w:tabs>
        <w:suppressAutoHyphens/>
        <w:spacing w:after="0" w:line="280" w:lineRule="atLeast"/>
        <w:jc w:val="both"/>
        <w:rPr>
          <w:rFonts w:eastAsia="Times New Roman" w:cs="Times New Roman"/>
        </w:rPr>
      </w:pPr>
      <w:r w:rsidRPr="00680886">
        <w:rPr>
          <w:rFonts w:ascii="New York" w:eastAsia="Times New Roman" w:hAnsi="New York" w:cs="Times New Roman"/>
          <w:noProof/>
          <w:sz w:val="24"/>
          <w:szCs w:val="20"/>
        </w:rPr>
        <w:drawing>
          <wp:inline distT="0" distB="0" distL="0" distR="0" wp14:anchorId="6065EAA9" wp14:editId="40E82D96">
            <wp:extent cx="5486400" cy="2684780"/>
            <wp:effectExtent l="0" t="0" r="0" b="12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163C83" w14:textId="77777777" w:rsidR="00B255E0" w:rsidRDefault="00B255E0" w:rsidP="00E65DA7">
      <w:pPr>
        <w:tabs>
          <w:tab w:val="left" w:pos="-720"/>
        </w:tabs>
        <w:suppressAutoHyphens/>
        <w:spacing w:after="0" w:line="280" w:lineRule="atLeast"/>
        <w:jc w:val="both"/>
        <w:rPr>
          <w:rFonts w:eastAsia="Times New Roman" w:cs="Times New Roman"/>
        </w:rPr>
      </w:pPr>
    </w:p>
    <w:p w14:paraId="101C4230" w14:textId="77777777" w:rsidR="00E65DA7" w:rsidRPr="00E65DA7" w:rsidRDefault="00E65DA7" w:rsidP="00E65DA7">
      <w:pPr>
        <w:tabs>
          <w:tab w:val="left" w:pos="-720"/>
        </w:tabs>
        <w:suppressAutoHyphens/>
        <w:spacing w:after="0" w:line="280" w:lineRule="atLeast"/>
        <w:jc w:val="both"/>
        <w:rPr>
          <w:rFonts w:eastAsia="Times New Roman" w:cs="Times New Roman"/>
        </w:rPr>
      </w:pPr>
      <w:r w:rsidRPr="00E65DA7">
        <w:rPr>
          <w:rFonts w:eastAsia="Times New Roman" w:cs="Times New Roman"/>
        </w:rPr>
        <w:t xml:space="preserve">The rehabilitation objectives reflect rehabilitation efforts in community areas. The conservation and preservation objectives reflect ongoing conservation efforts such as weatherization programs.  </w:t>
      </w:r>
    </w:p>
    <w:p w14:paraId="2723E1B0" w14:textId="77777777" w:rsidR="00B255E0" w:rsidRDefault="00B255E0" w:rsidP="00B255E0"/>
    <w:p w14:paraId="2695E3E5" w14:textId="77777777" w:rsidR="00B255E0" w:rsidRDefault="00B255E0" w:rsidP="00B255E0">
      <w:r>
        <w:t>Table 26, Quantified Objectives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2070"/>
        <w:gridCol w:w="2070"/>
        <w:gridCol w:w="2160"/>
      </w:tblGrid>
      <w:tr w:rsidR="00B255E0" w:rsidRPr="00C027C1" w14:paraId="234FAA87" w14:textId="77777777" w:rsidTr="002B4CDA">
        <w:tc>
          <w:tcPr>
            <w:tcW w:w="2340" w:type="dxa"/>
            <w:shd w:val="clear" w:color="auto" w:fill="E6E6E6"/>
          </w:tcPr>
          <w:p w14:paraId="5F54A28E" w14:textId="77777777" w:rsidR="00B255E0" w:rsidRPr="00C027C1" w:rsidRDefault="00B255E0" w:rsidP="002B4CDA">
            <w:pPr>
              <w:tabs>
                <w:tab w:val="left" w:pos="-720"/>
              </w:tabs>
              <w:suppressAutoHyphens/>
              <w:spacing w:after="0" w:line="280" w:lineRule="atLeast"/>
              <w:jc w:val="both"/>
              <w:rPr>
                <w:rFonts w:ascii="Times New Roman" w:eastAsia="Times New Roman" w:hAnsi="Times New Roman" w:cs="Times New Roman"/>
                <w:b/>
                <w:szCs w:val="20"/>
              </w:rPr>
            </w:pPr>
          </w:p>
          <w:p w14:paraId="4CECFDAC" w14:textId="77777777" w:rsidR="00B255E0" w:rsidRPr="00C027C1" w:rsidRDefault="00B255E0" w:rsidP="002B4CDA">
            <w:pPr>
              <w:tabs>
                <w:tab w:val="left" w:pos="-720"/>
              </w:tabs>
              <w:suppressAutoHyphens/>
              <w:spacing w:after="0" w:line="280" w:lineRule="atLeast"/>
              <w:jc w:val="both"/>
              <w:rPr>
                <w:rFonts w:ascii="Palatino" w:eastAsia="Times New Roman" w:hAnsi="Palatino" w:cs="Times New Roman"/>
                <w:b/>
                <w:szCs w:val="20"/>
              </w:rPr>
            </w:pPr>
            <w:r w:rsidRPr="00C027C1">
              <w:rPr>
                <w:rFonts w:ascii="Times New Roman" w:eastAsia="Times New Roman" w:hAnsi="Times New Roman" w:cs="Times New Roman"/>
                <w:b/>
                <w:szCs w:val="20"/>
              </w:rPr>
              <w:t>Income Group</w:t>
            </w:r>
          </w:p>
        </w:tc>
        <w:tc>
          <w:tcPr>
            <w:tcW w:w="2070" w:type="dxa"/>
            <w:shd w:val="clear" w:color="auto" w:fill="E6E6E6"/>
          </w:tcPr>
          <w:p w14:paraId="3ACC9264" w14:textId="77777777" w:rsidR="00B255E0" w:rsidRPr="00C027C1" w:rsidRDefault="00B255E0" w:rsidP="002B4CDA">
            <w:pPr>
              <w:tabs>
                <w:tab w:val="left" w:pos="-720"/>
              </w:tabs>
              <w:suppressAutoHyphens/>
              <w:spacing w:after="0" w:line="280" w:lineRule="atLeast"/>
              <w:jc w:val="center"/>
              <w:rPr>
                <w:rFonts w:ascii="Times New Roman" w:eastAsia="Times New Roman" w:hAnsi="Times New Roman" w:cs="Times New Roman"/>
                <w:b/>
                <w:szCs w:val="20"/>
              </w:rPr>
            </w:pPr>
          </w:p>
          <w:p w14:paraId="5518D72D"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New Construction</w:t>
            </w:r>
          </w:p>
        </w:tc>
        <w:tc>
          <w:tcPr>
            <w:tcW w:w="2070" w:type="dxa"/>
            <w:shd w:val="clear" w:color="auto" w:fill="E6E6E6"/>
          </w:tcPr>
          <w:p w14:paraId="3503B2D0" w14:textId="77777777" w:rsidR="00B255E0" w:rsidRPr="00C027C1" w:rsidRDefault="00B255E0" w:rsidP="002B4CDA">
            <w:pPr>
              <w:tabs>
                <w:tab w:val="left" w:pos="-720"/>
              </w:tabs>
              <w:suppressAutoHyphens/>
              <w:spacing w:after="0" w:line="280" w:lineRule="atLeast"/>
              <w:jc w:val="center"/>
              <w:rPr>
                <w:rFonts w:ascii="Times New Roman" w:eastAsia="Times New Roman" w:hAnsi="Times New Roman" w:cs="Times New Roman"/>
                <w:b/>
                <w:szCs w:val="20"/>
              </w:rPr>
            </w:pPr>
          </w:p>
          <w:p w14:paraId="69EFAAC1"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Rehabilitation</w:t>
            </w:r>
          </w:p>
        </w:tc>
        <w:tc>
          <w:tcPr>
            <w:tcW w:w="2160" w:type="dxa"/>
            <w:shd w:val="clear" w:color="auto" w:fill="E6E6E6"/>
          </w:tcPr>
          <w:p w14:paraId="2A769C1C"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b/>
                <w:szCs w:val="20"/>
              </w:rPr>
            </w:pPr>
            <w:r w:rsidRPr="00C027C1">
              <w:rPr>
                <w:rFonts w:ascii="Times New Roman" w:eastAsia="Times New Roman" w:hAnsi="Times New Roman" w:cs="Times New Roman"/>
                <w:b/>
                <w:szCs w:val="20"/>
              </w:rPr>
              <w:t>Conservation and Preservation</w:t>
            </w:r>
          </w:p>
        </w:tc>
      </w:tr>
      <w:tr w:rsidR="00B255E0" w:rsidRPr="00C027C1" w14:paraId="066E78A0" w14:textId="77777777" w:rsidTr="002B4CDA">
        <w:tc>
          <w:tcPr>
            <w:tcW w:w="2340" w:type="dxa"/>
          </w:tcPr>
          <w:p w14:paraId="424DB40A" w14:textId="77777777" w:rsidR="00B255E0" w:rsidRPr="00C027C1" w:rsidRDefault="00B255E0" w:rsidP="002B4CDA">
            <w:pPr>
              <w:tabs>
                <w:tab w:val="left" w:pos="-720"/>
              </w:tabs>
              <w:suppressAutoHyphens/>
              <w:spacing w:after="0" w:line="280" w:lineRule="atLeast"/>
              <w:jc w:val="both"/>
              <w:rPr>
                <w:rFonts w:ascii="Times New Roman" w:eastAsia="Times New Roman" w:hAnsi="Times New Roman" w:cs="Times New Roman"/>
                <w:szCs w:val="20"/>
              </w:rPr>
            </w:pPr>
            <w:r w:rsidRPr="00C027C1">
              <w:rPr>
                <w:rFonts w:ascii="Times New Roman" w:eastAsia="Times New Roman" w:hAnsi="Times New Roman" w:cs="Times New Roman"/>
                <w:szCs w:val="20"/>
              </w:rPr>
              <w:t>Extremely Low (5)</w:t>
            </w:r>
          </w:p>
        </w:tc>
        <w:tc>
          <w:tcPr>
            <w:tcW w:w="2070" w:type="dxa"/>
          </w:tcPr>
          <w:p w14:paraId="3A00C9E9"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w:t>
            </w:r>
          </w:p>
        </w:tc>
        <w:tc>
          <w:tcPr>
            <w:tcW w:w="2070" w:type="dxa"/>
          </w:tcPr>
          <w:p w14:paraId="4B4EC729"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2</w:t>
            </w:r>
          </w:p>
        </w:tc>
        <w:tc>
          <w:tcPr>
            <w:tcW w:w="2160" w:type="dxa"/>
          </w:tcPr>
          <w:p w14:paraId="283B4FBB"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w:t>
            </w:r>
          </w:p>
        </w:tc>
      </w:tr>
      <w:tr w:rsidR="00B255E0" w:rsidRPr="00C027C1" w14:paraId="5AAE07F6" w14:textId="77777777" w:rsidTr="002B4CDA">
        <w:tc>
          <w:tcPr>
            <w:tcW w:w="2340" w:type="dxa"/>
          </w:tcPr>
          <w:p w14:paraId="571654BC" w14:textId="77777777" w:rsidR="00B255E0" w:rsidRPr="00C027C1" w:rsidRDefault="00B255E0" w:rsidP="002B4CDA">
            <w:pPr>
              <w:tabs>
                <w:tab w:val="left" w:pos="-720"/>
              </w:tabs>
              <w:suppressAutoHyphens/>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Very Low (6)</w:t>
            </w:r>
          </w:p>
        </w:tc>
        <w:tc>
          <w:tcPr>
            <w:tcW w:w="2070" w:type="dxa"/>
          </w:tcPr>
          <w:p w14:paraId="0EBD9C7F"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w:t>
            </w:r>
          </w:p>
        </w:tc>
        <w:tc>
          <w:tcPr>
            <w:tcW w:w="2070" w:type="dxa"/>
          </w:tcPr>
          <w:p w14:paraId="1B2972B4"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2</w:t>
            </w:r>
          </w:p>
        </w:tc>
        <w:tc>
          <w:tcPr>
            <w:tcW w:w="2160" w:type="dxa"/>
          </w:tcPr>
          <w:p w14:paraId="20223092"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1</w:t>
            </w:r>
          </w:p>
        </w:tc>
      </w:tr>
      <w:tr w:rsidR="00B255E0" w:rsidRPr="00C027C1" w14:paraId="33DF18E8" w14:textId="77777777" w:rsidTr="002B4CDA">
        <w:tc>
          <w:tcPr>
            <w:tcW w:w="2340" w:type="dxa"/>
          </w:tcPr>
          <w:p w14:paraId="617447AD" w14:textId="77777777" w:rsidR="00B255E0" w:rsidRPr="00C027C1" w:rsidRDefault="00B255E0" w:rsidP="002B4CDA">
            <w:pPr>
              <w:tabs>
                <w:tab w:val="left" w:pos="-720"/>
              </w:tabs>
              <w:suppressAutoHyphens/>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Low (7)</w:t>
            </w:r>
          </w:p>
        </w:tc>
        <w:tc>
          <w:tcPr>
            <w:tcW w:w="2070" w:type="dxa"/>
          </w:tcPr>
          <w:p w14:paraId="44EE937C"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w:t>
            </w:r>
          </w:p>
        </w:tc>
        <w:tc>
          <w:tcPr>
            <w:tcW w:w="2070" w:type="dxa"/>
          </w:tcPr>
          <w:p w14:paraId="0F9CDB82"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2</w:t>
            </w:r>
          </w:p>
        </w:tc>
        <w:tc>
          <w:tcPr>
            <w:tcW w:w="2160" w:type="dxa"/>
          </w:tcPr>
          <w:p w14:paraId="0F9DCD71"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2</w:t>
            </w:r>
          </w:p>
        </w:tc>
      </w:tr>
      <w:tr w:rsidR="00B255E0" w:rsidRPr="00C027C1" w14:paraId="51E66F42" w14:textId="77777777" w:rsidTr="002B4CDA">
        <w:tc>
          <w:tcPr>
            <w:tcW w:w="2340" w:type="dxa"/>
          </w:tcPr>
          <w:p w14:paraId="10CB403F" w14:textId="77777777" w:rsidR="00B255E0" w:rsidRPr="00C027C1" w:rsidRDefault="00B255E0" w:rsidP="002B4CDA">
            <w:pPr>
              <w:tabs>
                <w:tab w:val="left" w:pos="-720"/>
              </w:tabs>
              <w:suppressAutoHyphens/>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Moderate (9)</w:t>
            </w:r>
          </w:p>
        </w:tc>
        <w:tc>
          <w:tcPr>
            <w:tcW w:w="2070" w:type="dxa"/>
          </w:tcPr>
          <w:p w14:paraId="606C5AB2"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9</w:t>
            </w:r>
          </w:p>
        </w:tc>
        <w:tc>
          <w:tcPr>
            <w:tcW w:w="2070" w:type="dxa"/>
          </w:tcPr>
          <w:p w14:paraId="37E04624"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c>
          <w:tcPr>
            <w:tcW w:w="2160" w:type="dxa"/>
          </w:tcPr>
          <w:p w14:paraId="31EFA700"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r>
      <w:tr w:rsidR="00B255E0" w:rsidRPr="00C027C1" w14:paraId="67698EFE" w14:textId="77777777" w:rsidTr="002B4CDA">
        <w:tc>
          <w:tcPr>
            <w:tcW w:w="2340" w:type="dxa"/>
          </w:tcPr>
          <w:p w14:paraId="10472307" w14:textId="77777777" w:rsidR="00B255E0" w:rsidRPr="00C027C1" w:rsidRDefault="00B255E0" w:rsidP="002B4CDA">
            <w:pPr>
              <w:tabs>
                <w:tab w:val="left" w:pos="-720"/>
              </w:tabs>
              <w:suppressAutoHyphens/>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Above Moderate (19)</w:t>
            </w:r>
          </w:p>
        </w:tc>
        <w:tc>
          <w:tcPr>
            <w:tcW w:w="2070" w:type="dxa"/>
          </w:tcPr>
          <w:p w14:paraId="1417742D"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19</w:t>
            </w:r>
          </w:p>
        </w:tc>
        <w:tc>
          <w:tcPr>
            <w:tcW w:w="2070" w:type="dxa"/>
          </w:tcPr>
          <w:p w14:paraId="62D09167"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c>
          <w:tcPr>
            <w:tcW w:w="2160" w:type="dxa"/>
          </w:tcPr>
          <w:p w14:paraId="7666F8F4"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0</w:t>
            </w:r>
          </w:p>
        </w:tc>
      </w:tr>
      <w:tr w:rsidR="00B255E0" w:rsidRPr="00C027C1" w14:paraId="486D68FD" w14:textId="77777777" w:rsidTr="002B4CDA">
        <w:tc>
          <w:tcPr>
            <w:tcW w:w="2340" w:type="dxa"/>
          </w:tcPr>
          <w:p w14:paraId="579F84E8" w14:textId="77777777" w:rsidR="00B255E0" w:rsidRPr="00C027C1" w:rsidRDefault="00B255E0" w:rsidP="002B4CDA">
            <w:pPr>
              <w:tabs>
                <w:tab w:val="left" w:pos="-720"/>
              </w:tabs>
              <w:suppressAutoHyphens/>
              <w:spacing w:after="0" w:line="280" w:lineRule="atLeast"/>
              <w:jc w:val="both"/>
              <w:rPr>
                <w:rFonts w:ascii="Palatino" w:eastAsia="Times New Roman" w:hAnsi="Palatino" w:cs="Times New Roman"/>
                <w:szCs w:val="20"/>
              </w:rPr>
            </w:pPr>
            <w:r w:rsidRPr="00C027C1">
              <w:rPr>
                <w:rFonts w:ascii="Times New Roman" w:eastAsia="Times New Roman" w:hAnsi="Times New Roman" w:cs="Times New Roman"/>
                <w:szCs w:val="20"/>
              </w:rPr>
              <w:t xml:space="preserve">     Total</w:t>
            </w:r>
          </w:p>
        </w:tc>
        <w:tc>
          <w:tcPr>
            <w:tcW w:w="2070" w:type="dxa"/>
          </w:tcPr>
          <w:p w14:paraId="1DBAA1EF"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37</w:t>
            </w:r>
          </w:p>
        </w:tc>
        <w:tc>
          <w:tcPr>
            <w:tcW w:w="2070" w:type="dxa"/>
          </w:tcPr>
          <w:p w14:paraId="1BE305A6"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6</w:t>
            </w:r>
          </w:p>
        </w:tc>
        <w:tc>
          <w:tcPr>
            <w:tcW w:w="2160" w:type="dxa"/>
          </w:tcPr>
          <w:p w14:paraId="6F5C7124" w14:textId="77777777" w:rsidR="00B255E0" w:rsidRPr="00C027C1" w:rsidRDefault="00B255E0" w:rsidP="002B4CDA">
            <w:pPr>
              <w:tabs>
                <w:tab w:val="left" w:pos="-720"/>
              </w:tabs>
              <w:suppressAutoHyphens/>
              <w:spacing w:after="0" w:line="280" w:lineRule="atLeast"/>
              <w:jc w:val="center"/>
              <w:rPr>
                <w:rFonts w:ascii="Palatino" w:eastAsia="Times New Roman" w:hAnsi="Palatino" w:cs="Times New Roman"/>
                <w:szCs w:val="20"/>
              </w:rPr>
            </w:pPr>
            <w:r w:rsidRPr="00C027C1">
              <w:rPr>
                <w:rFonts w:ascii="Palatino" w:eastAsia="Times New Roman" w:hAnsi="Palatino" w:cs="Times New Roman"/>
                <w:szCs w:val="20"/>
              </w:rPr>
              <w:t>3</w:t>
            </w:r>
          </w:p>
        </w:tc>
      </w:tr>
      <w:tr w:rsidR="00B255E0" w:rsidRPr="00C027C1" w14:paraId="42C204D5" w14:textId="77777777" w:rsidTr="002B4CDA">
        <w:tc>
          <w:tcPr>
            <w:tcW w:w="8640" w:type="dxa"/>
            <w:gridSpan w:val="4"/>
          </w:tcPr>
          <w:p w14:paraId="286195F1" w14:textId="77777777" w:rsidR="00B255E0" w:rsidRPr="00C027C1" w:rsidRDefault="00B255E0" w:rsidP="002B4CDA">
            <w:pPr>
              <w:tabs>
                <w:tab w:val="left" w:pos="-720"/>
              </w:tabs>
              <w:suppressAutoHyphens/>
              <w:spacing w:after="0" w:line="280" w:lineRule="atLeast"/>
              <w:jc w:val="both"/>
              <w:rPr>
                <w:rFonts w:ascii="Palatino" w:eastAsia="Times New Roman" w:hAnsi="Palatino" w:cs="Times New Roman"/>
                <w:i/>
                <w:szCs w:val="20"/>
              </w:rPr>
            </w:pPr>
            <w:r w:rsidRPr="00C027C1">
              <w:rPr>
                <w:rFonts w:ascii="Times New Roman" w:eastAsia="Times New Roman" w:hAnsi="Times New Roman" w:cs="Times New Roman"/>
                <w:i/>
                <w:szCs w:val="20"/>
              </w:rPr>
              <w:t>Source:  Mono County Community Development Department.</w:t>
            </w:r>
          </w:p>
        </w:tc>
      </w:tr>
    </w:tbl>
    <w:p w14:paraId="284047C1" w14:textId="77777777" w:rsidR="00E65DA7" w:rsidRDefault="003D5E81" w:rsidP="00EF449A">
      <w:pPr>
        <w:pStyle w:val="Heading1"/>
        <w:rPr>
          <w:rFonts w:eastAsia="Times New Roman" w:cs="Times New Roman"/>
        </w:rPr>
      </w:pPr>
      <w:bookmarkStart w:id="144" w:name="_Toc383700020"/>
      <w:r>
        <w:rPr>
          <w:rFonts w:eastAsia="Times New Roman" w:cs="Times New Roman"/>
        </w:rPr>
        <w:t>3</w:t>
      </w:r>
      <w:r w:rsidR="00E65DA7">
        <w:rPr>
          <w:rFonts w:eastAsia="Times New Roman" w:cs="Times New Roman"/>
        </w:rPr>
        <w:t>. RESOURCES AND CONSTRAINTS</w:t>
      </w:r>
      <w:bookmarkEnd w:id="144"/>
    </w:p>
    <w:p w14:paraId="450D91ED" w14:textId="77777777" w:rsidR="00E65DA7" w:rsidRDefault="002E1FEA" w:rsidP="00EF449A">
      <w:pPr>
        <w:pStyle w:val="Heading2"/>
        <w:rPr>
          <w:rFonts w:eastAsia="Times New Roman" w:cs="Times New Roman"/>
        </w:rPr>
      </w:pPr>
      <w:bookmarkStart w:id="145" w:name="_Toc383700021"/>
      <w:r>
        <w:rPr>
          <w:rFonts w:eastAsia="Times New Roman" w:cs="Times New Roman"/>
        </w:rPr>
        <w:t xml:space="preserve">A. </w:t>
      </w:r>
      <w:r w:rsidR="00E65DA7">
        <w:rPr>
          <w:rFonts w:eastAsia="Times New Roman" w:cs="Times New Roman"/>
        </w:rPr>
        <w:t>LAND INVENTORY</w:t>
      </w:r>
      <w:bookmarkEnd w:id="145"/>
    </w:p>
    <w:p w14:paraId="34A410A2" w14:textId="77777777" w:rsidR="00E65DA7" w:rsidRDefault="00E65DA7" w:rsidP="00E65DA7">
      <w:pPr>
        <w:tabs>
          <w:tab w:val="left" w:pos="720"/>
        </w:tabs>
        <w:spacing w:after="0"/>
        <w:rPr>
          <w:rFonts w:eastAsia="Times New Roman" w:cs="Times New Roman"/>
        </w:rPr>
      </w:pPr>
    </w:p>
    <w:p w14:paraId="151EE109" w14:textId="77777777" w:rsidR="00E65DA7" w:rsidRPr="00E65DA7" w:rsidRDefault="002E1FEA" w:rsidP="00EF449A">
      <w:pPr>
        <w:pStyle w:val="Heading3"/>
      </w:pPr>
      <w:bookmarkStart w:id="146" w:name="_Toc383700022"/>
      <w:r>
        <w:t xml:space="preserve">a. </w:t>
      </w:r>
      <w:r w:rsidR="00E65DA7" w:rsidRPr="00E65DA7">
        <w:t>PHYSICAL AND ENVIRONMENTAL CONSTRAINTS</w:t>
      </w:r>
      <w:bookmarkEnd w:id="146"/>
      <w:r w:rsidR="00E65DA7" w:rsidRPr="00E65DA7">
        <w:fldChar w:fldCharType="begin"/>
      </w:r>
      <w:r w:rsidR="00E65DA7" w:rsidRPr="00E65DA7">
        <w:instrText xml:space="preserve"> TC"</w:instrText>
      </w:r>
      <w:bookmarkStart w:id="147" w:name="_Toc53806464"/>
      <w:bookmarkStart w:id="148" w:name="_Toc66156056"/>
      <w:bookmarkStart w:id="149" w:name="_Toc76443976"/>
      <w:bookmarkStart w:id="150" w:name="_Toc123887116"/>
      <w:r w:rsidR="00E65DA7" w:rsidRPr="00E65DA7">
        <w:instrText>Physical and Environmental Constraints</w:instrText>
      </w:r>
      <w:bookmarkEnd w:id="147"/>
      <w:bookmarkEnd w:id="148"/>
      <w:bookmarkEnd w:id="149"/>
      <w:bookmarkEnd w:id="150"/>
      <w:r w:rsidR="00E65DA7" w:rsidRPr="00E65DA7">
        <w:instrText xml:space="preserve">"\l 3 </w:instrText>
      </w:r>
      <w:r w:rsidR="00E65DA7" w:rsidRPr="00E65DA7">
        <w:fldChar w:fldCharType="end"/>
      </w:r>
    </w:p>
    <w:p w14:paraId="5CABC300" w14:textId="77777777"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 xml:space="preserve">There are areas within Mono County that are unavailable for residential development because of site constraints such as natural hazards or environmentally sensitive lands. The high cost of building on these lands, coupled with environmental constraints, in many cases would make them unsuitable for development. </w:t>
      </w:r>
    </w:p>
    <w:p w14:paraId="4464C1B3" w14:textId="77777777" w:rsidR="00E65DA7" w:rsidRPr="00E65DA7" w:rsidRDefault="00E65DA7" w:rsidP="00E65DA7">
      <w:pPr>
        <w:spacing w:after="0" w:line="280" w:lineRule="atLeast"/>
        <w:jc w:val="both"/>
        <w:rPr>
          <w:rFonts w:eastAsia="Times New Roman" w:cs="Times New Roman"/>
        </w:rPr>
      </w:pPr>
    </w:p>
    <w:p w14:paraId="6867BCAD" w14:textId="77777777" w:rsidR="00E65DA7" w:rsidRPr="00E65DA7" w:rsidRDefault="00E65DA7" w:rsidP="00E65DA7">
      <w:pPr>
        <w:spacing w:after="0" w:line="280" w:lineRule="atLeast"/>
        <w:jc w:val="both"/>
        <w:rPr>
          <w:rFonts w:eastAsia="Times New Roman" w:cs="Times New Roman"/>
        </w:rPr>
      </w:pPr>
      <w:r w:rsidRPr="00E65DA7">
        <w:rPr>
          <w:rFonts w:eastAsia="Times New Roman" w:cs="Times New Roman"/>
        </w:rPr>
        <w:t>Development in the following areas may be prohibited by the County's General Plan and/or Land Development Regulations or by requirements of other state or federal agencies, may present a hazard to those who choose to build in the area, or may impact valuable resources and require costly mitigation measures:</w:t>
      </w:r>
    </w:p>
    <w:p w14:paraId="6EBE3214" w14:textId="77777777" w:rsidR="00E65DA7" w:rsidRPr="00E65DA7" w:rsidRDefault="00E65DA7" w:rsidP="00E65DA7">
      <w:pPr>
        <w:spacing w:after="0" w:line="280" w:lineRule="atLeast"/>
        <w:jc w:val="both"/>
        <w:rPr>
          <w:rFonts w:eastAsia="Times New Roman" w:cs="Times New Roman"/>
        </w:rPr>
      </w:pPr>
    </w:p>
    <w:p w14:paraId="1194256D" w14:textId="77777777" w:rsidR="00E65DA7" w:rsidRPr="00E65DA7" w:rsidRDefault="00E65DA7" w:rsidP="00E65DA7">
      <w:pPr>
        <w:tabs>
          <w:tab w:val="left" w:pos="720"/>
        </w:tabs>
        <w:spacing w:after="0" w:line="280" w:lineRule="atLeast"/>
        <w:ind w:left="720" w:hanging="360"/>
        <w:jc w:val="both"/>
        <w:rPr>
          <w:rFonts w:eastAsia="Times New Roman" w:cs="Times New Roman"/>
        </w:rPr>
      </w:pPr>
      <w:r w:rsidRPr="00E65DA7">
        <w:rPr>
          <w:rFonts w:eastAsia="Times New Roman" w:cs="Times New Roman"/>
        </w:rPr>
        <w:t xml:space="preserve">a. </w:t>
      </w:r>
      <w:r w:rsidRPr="00E65DA7">
        <w:rPr>
          <w:rFonts w:eastAsia="Times New Roman" w:cs="Times New Roman"/>
        </w:rPr>
        <w:tab/>
      </w:r>
      <w:r w:rsidRPr="00E65DA7">
        <w:rPr>
          <w:rFonts w:eastAsia="Times New Roman" w:cs="Times New Roman"/>
          <w:i/>
        </w:rPr>
        <w:t>Remote Locations.</w:t>
      </w:r>
      <w:r w:rsidRPr="00E65DA7">
        <w:rPr>
          <w:rFonts w:eastAsia="Times New Roman" w:cs="Times New Roman"/>
        </w:rPr>
        <w:t xml:space="preserve"> Some privately owned undeveloped land in Mono County is located in very remote areas where there is not, nor is there expected to be, demand for development. Reasonable legal access to these lands cannot be developed or acquired, and most of the time the County would not be able to provide the normal, expected, public services of police and fire protection, schools, etc. Most of the land in remote areas is not designated for residential use because of its remoteness. It is generally designated Resource Management or Agriculture and is used either for grazing or crops. Many of these lands are pockets of privately owned land surrounded by public lands managed by the U.S. Forest Service or the Bureau of Land Management. In addition, the Los Angeles Department of Water and Power, technically a private landowner, owns land throughout the central and southern portion of the County. Most of the land in remote locations would not be developable for other reasons as well, such as hazards associated with the area or environmentally sensitive lands in those areas. The remote location of some private land is generally not a constraint to development since most of the private land base is centered around existing community areas.</w:t>
      </w:r>
    </w:p>
    <w:p w14:paraId="7B6C7952" w14:textId="77777777" w:rsidR="00E65DA7" w:rsidRPr="00E65DA7" w:rsidRDefault="00E65DA7" w:rsidP="00E65DA7">
      <w:pPr>
        <w:tabs>
          <w:tab w:val="left" w:pos="720"/>
        </w:tabs>
        <w:spacing w:after="0" w:line="280" w:lineRule="atLeast"/>
        <w:ind w:left="720"/>
        <w:jc w:val="both"/>
        <w:rPr>
          <w:rFonts w:eastAsia="Times New Roman" w:cs="Times New Roman"/>
        </w:rPr>
      </w:pPr>
    </w:p>
    <w:p w14:paraId="0B773DDF" w14:textId="77777777" w:rsidR="00E65DA7" w:rsidRPr="00E65DA7" w:rsidRDefault="00E65DA7" w:rsidP="00E65DA7">
      <w:pPr>
        <w:tabs>
          <w:tab w:val="left" w:pos="720"/>
        </w:tabs>
        <w:spacing w:after="0" w:line="280" w:lineRule="atLeast"/>
        <w:ind w:left="720" w:hanging="360"/>
        <w:jc w:val="both"/>
        <w:rPr>
          <w:rFonts w:eastAsia="Times New Roman" w:cs="Times New Roman"/>
        </w:rPr>
      </w:pPr>
      <w:r w:rsidRPr="00E65DA7">
        <w:rPr>
          <w:rFonts w:eastAsia="Times New Roman" w:cs="Times New Roman"/>
        </w:rPr>
        <w:t xml:space="preserve">b. </w:t>
      </w:r>
      <w:r w:rsidRPr="00E65DA7">
        <w:rPr>
          <w:rFonts w:eastAsia="Times New Roman" w:cs="Times New Roman"/>
        </w:rPr>
        <w:tab/>
      </w:r>
      <w:r w:rsidRPr="00E65DA7">
        <w:rPr>
          <w:rFonts w:eastAsia="Times New Roman" w:cs="Times New Roman"/>
          <w:i/>
        </w:rPr>
        <w:t>Hazard-Prone Areas.</w:t>
      </w:r>
      <w:r w:rsidRPr="00E65DA7">
        <w:rPr>
          <w:rFonts w:eastAsia="Times New Roman" w:cs="Times New Roman"/>
        </w:rPr>
        <w:t xml:space="preserve"> Mono County currently regulates development in snow avalanche-prone areas as well as in areas identified as Alquist-Priolo Special Studies Zones (fault hazard zones), in other geologically sensitive areas, and in flood plains. Mono County General Plan policies (Safety Element) limit development in identified hazardous areas in order to minimize the risks of those hazards and to protect local communities from unreasonable risks associated with those hazards. General Plan policies also promote land exchanges for those lands to place them in public ownership and make other lands adjacent to community areas available for future community expansion. </w:t>
      </w:r>
    </w:p>
    <w:p w14:paraId="788D49E2" w14:textId="77777777" w:rsidR="00E65DA7" w:rsidRPr="00E65DA7" w:rsidRDefault="00E65DA7" w:rsidP="00E65DA7">
      <w:pPr>
        <w:tabs>
          <w:tab w:val="left" w:pos="720"/>
        </w:tabs>
        <w:spacing w:after="0" w:line="280" w:lineRule="atLeast"/>
        <w:ind w:left="720"/>
        <w:jc w:val="both"/>
        <w:rPr>
          <w:rFonts w:eastAsia="Times New Roman" w:cs="Times New Roman"/>
        </w:rPr>
      </w:pPr>
    </w:p>
    <w:p w14:paraId="5F5853F1" w14:textId="77777777" w:rsidR="00E65DA7" w:rsidRPr="00E65DA7" w:rsidRDefault="00E65DA7" w:rsidP="00E65DA7">
      <w:pPr>
        <w:tabs>
          <w:tab w:val="left" w:pos="720"/>
        </w:tabs>
        <w:spacing w:after="0" w:line="280" w:lineRule="atLeast"/>
        <w:ind w:left="720"/>
        <w:jc w:val="both"/>
        <w:rPr>
          <w:rFonts w:eastAsia="Times New Roman" w:cs="Times New Roman"/>
        </w:rPr>
      </w:pPr>
      <w:r w:rsidRPr="00E65DA7">
        <w:rPr>
          <w:rFonts w:eastAsia="Times New Roman" w:cs="Times New Roman"/>
        </w:rPr>
        <w:t>Snow avalanche-prone areas are located in Twin Lakes, June Lake and Wheeler Crest, along the edges of those communities. Sufficient other sites are available for development in those communities so that the avalanche-prone areas do not affect development potential significantly.</w:t>
      </w:r>
    </w:p>
    <w:p w14:paraId="5A9933AB" w14:textId="77777777" w:rsidR="00E65DA7" w:rsidRPr="00E65DA7" w:rsidRDefault="00E65DA7" w:rsidP="00E65DA7">
      <w:pPr>
        <w:tabs>
          <w:tab w:val="left" w:pos="720"/>
        </w:tabs>
        <w:spacing w:after="0" w:line="280" w:lineRule="atLeast"/>
        <w:ind w:left="720"/>
        <w:jc w:val="both"/>
        <w:rPr>
          <w:rFonts w:eastAsia="Times New Roman" w:cs="Times New Roman"/>
        </w:rPr>
      </w:pPr>
    </w:p>
    <w:p w14:paraId="42600F46" w14:textId="77777777" w:rsidR="00E65DA7" w:rsidRPr="00E65DA7" w:rsidRDefault="00E65DA7" w:rsidP="00E65DA7">
      <w:pPr>
        <w:tabs>
          <w:tab w:val="left" w:pos="720"/>
        </w:tabs>
        <w:spacing w:after="0" w:line="280" w:lineRule="atLeast"/>
        <w:ind w:left="720"/>
        <w:jc w:val="both"/>
        <w:rPr>
          <w:rFonts w:eastAsia="Times New Roman" w:cs="Times New Roman"/>
        </w:rPr>
      </w:pPr>
      <w:r w:rsidRPr="00E65DA7">
        <w:rPr>
          <w:rFonts w:eastAsia="Times New Roman" w:cs="Times New Roman"/>
        </w:rPr>
        <w:t>Alquist-Priolo Special Studies Zones (fault hazard zones) occur throughout the County, many of them outside community areas. General Plan policies limit the intensity of development in seismic and other geologic hazard areas and require applicable development in those areas to provide a geotechnical report assessing the risk and recommending mitigation measures to reduce the risk to acceptable levels. The Building Division also requires new construction to comply with engineering and design requirements for seismic safety. The impact of fault hazard zones on new development is not significant. Other geologic hazards, such as rockfalls and landslides, are generally associated with seismic activity and are subject to the same development requirements noted above.</w:t>
      </w:r>
    </w:p>
    <w:p w14:paraId="7A36B656" w14:textId="77777777" w:rsidR="00E65DA7" w:rsidRPr="00E65DA7" w:rsidRDefault="00E65DA7" w:rsidP="00E65DA7">
      <w:pPr>
        <w:tabs>
          <w:tab w:val="left" w:pos="720"/>
        </w:tabs>
        <w:spacing w:after="0" w:line="280" w:lineRule="atLeast"/>
        <w:ind w:left="720"/>
        <w:jc w:val="both"/>
        <w:rPr>
          <w:rFonts w:eastAsia="Times New Roman" w:cs="Times New Roman"/>
        </w:rPr>
      </w:pPr>
    </w:p>
    <w:p w14:paraId="1FFDED24" w14:textId="77777777" w:rsidR="00E65DA7" w:rsidRPr="00E65DA7" w:rsidRDefault="00E65DA7" w:rsidP="00E65DA7">
      <w:pPr>
        <w:tabs>
          <w:tab w:val="left" w:pos="720"/>
        </w:tabs>
        <w:spacing w:after="0" w:line="280" w:lineRule="atLeast"/>
        <w:ind w:left="720"/>
        <w:jc w:val="both"/>
        <w:rPr>
          <w:rFonts w:eastAsia="Times New Roman" w:cs="Times New Roman"/>
        </w:rPr>
      </w:pPr>
      <w:r w:rsidRPr="00E65DA7">
        <w:rPr>
          <w:rFonts w:eastAsia="Times New Roman" w:cs="Times New Roman"/>
        </w:rPr>
        <w:t>Mono County uses the FEMA flood maps to identify areas within the 100-year flood plain. General Plan policies limit the intensity of development in the flood plain and regulate the placement of structures in the 100-year flood plain. The County's Floodplain Regulations (Mono County Land Development Regulations, Chapter 21) contain standards for construction and for subdivisions with the flood plain. Flooding is a particular concern in the Antelope Valley and the Tri-Valley. There is enough land in community areas that avoidance of flood plains does not significantly affect the County's ability to provide housing.</w:t>
      </w:r>
    </w:p>
    <w:p w14:paraId="6B7F4722" w14:textId="77777777" w:rsidR="00E65DA7" w:rsidRPr="00E65DA7" w:rsidRDefault="00E65DA7" w:rsidP="00E65DA7">
      <w:pPr>
        <w:tabs>
          <w:tab w:val="left" w:pos="720"/>
        </w:tabs>
        <w:spacing w:after="0" w:line="280" w:lineRule="atLeast"/>
        <w:ind w:left="720"/>
        <w:jc w:val="both"/>
        <w:rPr>
          <w:rFonts w:eastAsia="Times New Roman" w:cs="Times New Roman"/>
        </w:rPr>
      </w:pPr>
    </w:p>
    <w:p w14:paraId="0CD8C104" w14:textId="77777777" w:rsidR="00E65DA7" w:rsidRPr="00E65DA7" w:rsidRDefault="00E65DA7" w:rsidP="00E65DA7">
      <w:pPr>
        <w:tabs>
          <w:tab w:val="left" w:pos="720"/>
        </w:tabs>
        <w:spacing w:after="0" w:line="280" w:lineRule="atLeast"/>
        <w:ind w:left="720" w:hanging="360"/>
        <w:jc w:val="both"/>
        <w:rPr>
          <w:rFonts w:eastAsia="Times New Roman" w:cs="Times New Roman"/>
        </w:rPr>
      </w:pPr>
      <w:r w:rsidRPr="00E65DA7">
        <w:rPr>
          <w:rFonts w:eastAsia="Times New Roman" w:cs="Times New Roman"/>
        </w:rPr>
        <w:t xml:space="preserve">c. </w:t>
      </w:r>
      <w:r w:rsidRPr="00E65DA7">
        <w:rPr>
          <w:rFonts w:eastAsia="Times New Roman" w:cs="Times New Roman"/>
        </w:rPr>
        <w:tab/>
      </w:r>
      <w:r w:rsidRPr="00E65DA7">
        <w:rPr>
          <w:rFonts w:eastAsia="Times New Roman" w:cs="Times New Roman"/>
          <w:i/>
        </w:rPr>
        <w:t>Soils with Low Permeability Rates</w:t>
      </w:r>
      <w:r w:rsidRPr="00E65DA7">
        <w:rPr>
          <w:rFonts w:eastAsia="Times New Roman" w:cs="Times New Roman"/>
        </w:rPr>
        <w:t>. Many parts of the County are not served by public sewer systems and must rely on septic systems. In some parts of the County, standard septic systems cannot be used because the soils have low permeability rates that prevent effective operation of septic tank systems. This is a very limited issue that affects only a small number of parcels. Alternative septic system designs are available and, while they may be more costly, they do allow the site to be developed.</w:t>
      </w:r>
    </w:p>
    <w:p w14:paraId="72716C06" w14:textId="77777777" w:rsidR="00E65DA7" w:rsidRPr="00E65DA7" w:rsidRDefault="00E65DA7" w:rsidP="00E65DA7">
      <w:pPr>
        <w:tabs>
          <w:tab w:val="left" w:pos="720"/>
        </w:tabs>
        <w:spacing w:after="0" w:line="280" w:lineRule="atLeast"/>
        <w:ind w:left="720" w:hanging="360"/>
        <w:jc w:val="both"/>
        <w:rPr>
          <w:rFonts w:eastAsia="Times New Roman" w:cs="Times New Roman"/>
        </w:rPr>
      </w:pPr>
    </w:p>
    <w:p w14:paraId="044A1D84" w14:textId="77777777" w:rsidR="00E65DA7" w:rsidRDefault="00E65DA7" w:rsidP="00E65DA7">
      <w:pPr>
        <w:tabs>
          <w:tab w:val="left" w:pos="720"/>
        </w:tabs>
        <w:spacing w:after="0" w:line="280" w:lineRule="atLeast"/>
        <w:ind w:left="720" w:hanging="360"/>
        <w:jc w:val="both"/>
        <w:rPr>
          <w:rFonts w:eastAsia="Times New Roman" w:cs="Times New Roman"/>
        </w:rPr>
      </w:pPr>
      <w:r w:rsidRPr="00E65DA7">
        <w:rPr>
          <w:rFonts w:eastAsia="Times New Roman" w:cs="Times New Roman"/>
        </w:rPr>
        <w:t>d.</w:t>
      </w:r>
      <w:r w:rsidRPr="00E65DA7">
        <w:rPr>
          <w:rFonts w:eastAsia="Times New Roman" w:cs="Times New Roman"/>
        </w:rPr>
        <w:tab/>
      </w:r>
      <w:r w:rsidRPr="00E65DA7">
        <w:rPr>
          <w:rFonts w:eastAsia="Times New Roman" w:cs="Times New Roman"/>
          <w:i/>
        </w:rPr>
        <w:t>Environmentally Sensitive Areas</w:t>
      </w:r>
      <w:r w:rsidRPr="00E65DA7">
        <w:rPr>
          <w:rFonts w:eastAsia="Times New Roman" w:cs="Times New Roman"/>
        </w:rPr>
        <w:t>. Development is regulated in wetland areas, within stream corridors, in sensitive wildlife habitat, and in other environmentally sensitive areas. Environmentally sensitive areas occur throughout the County. Typically, parcels are large enough that the environmentally sensitive area can be avoided and the parcel can still be utilized for development. Parcels with environmentally sensitive areas usually require CEQA review of any proposed projects; during the CEQA review process, the project will be redesigned to avoid environmental impacts, and mitigation measures will be proposed to minimize impacts that cannot be avoided. Mono County General Plan policies encourage clustering on large parcels outside community areas in order to preserve habitat and avoid and/or minimize environmental impacts.</w:t>
      </w:r>
    </w:p>
    <w:p w14:paraId="2A5B03D5" w14:textId="77777777" w:rsidR="00E65DA7" w:rsidRPr="00E65DA7" w:rsidRDefault="00E65DA7" w:rsidP="00E65DA7">
      <w:pPr>
        <w:tabs>
          <w:tab w:val="left" w:pos="720"/>
        </w:tabs>
        <w:spacing w:after="0" w:line="280" w:lineRule="atLeast"/>
        <w:ind w:left="720" w:hanging="360"/>
        <w:jc w:val="both"/>
        <w:rPr>
          <w:rFonts w:eastAsia="Times New Roman" w:cs="Times New Roman"/>
        </w:rPr>
      </w:pPr>
    </w:p>
    <w:p w14:paraId="00AEC2AC" w14:textId="77777777" w:rsidR="00E65DA7" w:rsidRPr="00E65DA7" w:rsidRDefault="002E1FEA" w:rsidP="003D5E81">
      <w:pPr>
        <w:pStyle w:val="Heading3"/>
      </w:pPr>
      <w:bookmarkStart w:id="151" w:name="_Toc383700023"/>
      <w:r>
        <w:t xml:space="preserve">b. </w:t>
      </w:r>
      <w:r w:rsidR="00E65DA7" w:rsidRPr="00E65DA7">
        <w:t>ZONING FOR LOWER-INCOME HOUSING</w:t>
      </w:r>
      <w:bookmarkEnd w:id="151"/>
      <w:r w:rsidR="00E65DA7" w:rsidRPr="00E65DA7">
        <w:fldChar w:fldCharType="begin"/>
      </w:r>
      <w:r w:rsidR="00E65DA7" w:rsidRPr="00E65DA7">
        <w:instrText xml:space="preserve"> TC"</w:instrText>
      </w:r>
      <w:bookmarkStart w:id="152" w:name="_Toc53806465"/>
      <w:bookmarkStart w:id="153" w:name="_Toc66156057"/>
      <w:bookmarkStart w:id="154" w:name="_Toc76443977"/>
      <w:bookmarkStart w:id="155" w:name="_Toc123887117"/>
      <w:r w:rsidR="00E65DA7" w:rsidRPr="00E65DA7">
        <w:instrText>Zoning for Lower Income Housing</w:instrText>
      </w:r>
      <w:bookmarkEnd w:id="152"/>
      <w:bookmarkEnd w:id="153"/>
      <w:bookmarkEnd w:id="154"/>
      <w:bookmarkEnd w:id="155"/>
      <w:r w:rsidR="00E65DA7" w:rsidRPr="00E65DA7">
        <w:instrText xml:space="preserve">"\l 3 </w:instrText>
      </w:r>
      <w:r w:rsidR="00E65DA7" w:rsidRPr="00E65DA7">
        <w:fldChar w:fldCharType="end"/>
      </w:r>
    </w:p>
    <w:p w14:paraId="4B6EEE1E" w14:textId="77777777" w:rsidR="00E65DA7" w:rsidRDefault="00E65DA7" w:rsidP="00E65DA7">
      <w:pPr>
        <w:spacing w:after="0" w:line="280" w:lineRule="atLeast"/>
        <w:jc w:val="both"/>
        <w:rPr>
          <w:rFonts w:eastAsia="Times New Roman" w:cs="Times New Roman"/>
        </w:rPr>
      </w:pPr>
      <w:r w:rsidRPr="00E65DA7">
        <w:rPr>
          <w:rFonts w:eastAsia="Times New Roman" w:cs="Times New Roman"/>
        </w:rPr>
        <w:t>Mono County has several land use designations that specifically provide density bonuses for affordable housing and that are intended to provide for the efficient use of land and to increase opportunities for affordable housing. The following land use designations promote the provision of affordable housing:</w:t>
      </w:r>
    </w:p>
    <w:p w14:paraId="79B1C020" w14:textId="77777777" w:rsidR="00226DAA" w:rsidRDefault="00226DAA" w:rsidP="00E65DA7">
      <w:pPr>
        <w:spacing w:after="0" w:line="280" w:lineRule="atLeast"/>
        <w:jc w:val="both"/>
        <w:rPr>
          <w:rFonts w:eastAsia="Times New Roman" w:cs="Times New Roman"/>
        </w:rPr>
      </w:pPr>
    </w:p>
    <w:p w14:paraId="33247F04" w14:textId="77777777" w:rsidR="00226DAA" w:rsidRDefault="00226DAA" w:rsidP="00E65DA7">
      <w:pPr>
        <w:spacing w:after="0" w:line="280" w:lineRule="atLeast"/>
        <w:jc w:val="both"/>
        <w:rPr>
          <w:rFonts w:eastAsia="Times New Roman" w:cs="Times New Roman"/>
        </w:rPr>
      </w:pPr>
      <w:r>
        <w:rPr>
          <w:rFonts w:eastAsia="Times New Roman" w:cs="Times New Roman"/>
        </w:rPr>
        <w:t>Multiple-Family Residential – Low, Moderate, and High (MFR-L, M, H)</w:t>
      </w:r>
    </w:p>
    <w:p w14:paraId="1A298BCE" w14:textId="77777777" w:rsidR="00226DAA" w:rsidRDefault="00226DAA" w:rsidP="007A533B">
      <w:pPr>
        <w:spacing w:after="0" w:line="280" w:lineRule="atLeast"/>
        <w:jc w:val="both"/>
        <w:rPr>
          <w:rFonts w:eastAsia="Times New Roman" w:cs="Times New Roman"/>
        </w:rPr>
      </w:pPr>
      <w:r>
        <w:rPr>
          <w:rFonts w:eastAsia="Times New Roman" w:cs="Times New Roman"/>
        </w:rPr>
        <w:t xml:space="preserve">The MFR-L designation is intended to provide for low-density </w:t>
      </w:r>
      <w:r w:rsidR="007A533B">
        <w:rPr>
          <w:rFonts w:eastAsia="Times New Roman" w:cs="Times New Roman"/>
        </w:rPr>
        <w:t>multifamily residential development such as duplexes and triplexes.  The MFR-M designation is intended to encourage long-term multifamily housing by allowing for higher population densities and by not allowing commercial lodging facilities; i.e., hotels, motels.  The MFR-H designation is intended to encourage multifamily units by allowing for higher population densities and to provide for commercial lodging facilities: i.e., hotels, motels.</w:t>
      </w:r>
    </w:p>
    <w:p w14:paraId="46E51F06" w14:textId="77777777" w:rsidR="007A533B" w:rsidRDefault="007A533B" w:rsidP="007A533B">
      <w:pPr>
        <w:spacing w:after="0" w:line="280" w:lineRule="atLeast"/>
        <w:jc w:val="both"/>
        <w:rPr>
          <w:rFonts w:eastAsia="Times New Roman" w:cs="Times New Roman"/>
        </w:rPr>
      </w:pPr>
    </w:p>
    <w:p w14:paraId="5EE40411" w14:textId="77777777"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All of the designations allow duplexes and triplexes. All of the designations allow condominiums, cooperatives, townhomes, cluster developments, and apartments containing four or more units subject to Use Permit. The MFR-H designation also allows mobile-home parks subject to Use Permit.</w:t>
      </w:r>
    </w:p>
    <w:p w14:paraId="6C7CE6AD" w14:textId="77777777" w:rsidR="007A533B" w:rsidRPr="007A533B" w:rsidRDefault="007A533B" w:rsidP="007A533B">
      <w:pPr>
        <w:spacing w:after="0" w:line="280" w:lineRule="atLeast"/>
        <w:jc w:val="both"/>
        <w:rPr>
          <w:rFonts w:eastAsia="Times New Roman" w:cs="Times New Roman"/>
        </w:rPr>
      </w:pPr>
    </w:p>
    <w:p w14:paraId="0EAA6746" w14:textId="77777777"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Density bonuses are available in the MFR-M and MFR-H designations for affordable housing. The MFR-M also provides a bonus for enclosed, covered parking. In no case shall projects containing affordable housing and/or enclosed, covered parking density bonuses exceed 26 units/acre.</w:t>
      </w:r>
    </w:p>
    <w:p w14:paraId="3A48959D" w14:textId="77777777" w:rsidR="007A533B" w:rsidRPr="007A533B" w:rsidRDefault="007A533B" w:rsidP="007A533B">
      <w:pPr>
        <w:spacing w:after="0" w:line="280" w:lineRule="atLeast"/>
        <w:jc w:val="both"/>
        <w:rPr>
          <w:rFonts w:eastAsia="Times New Roman" w:cs="Times New Roman"/>
        </w:rPr>
      </w:pPr>
    </w:p>
    <w:p w14:paraId="0DA06FD2" w14:textId="77777777" w:rsidR="007A533B" w:rsidRPr="007A533B" w:rsidRDefault="007A533B" w:rsidP="007A533B">
      <w:pPr>
        <w:numPr>
          <w:ilvl w:val="12"/>
          <w:numId w:val="0"/>
        </w:numPr>
        <w:spacing w:after="0" w:line="280" w:lineRule="atLeast"/>
        <w:ind w:left="720" w:hanging="360"/>
        <w:jc w:val="both"/>
        <w:rPr>
          <w:rFonts w:eastAsia="Times New Roman" w:cs="Times New Roman"/>
        </w:rPr>
      </w:pPr>
      <w:r w:rsidRPr="007A533B">
        <w:rPr>
          <w:rFonts w:eastAsia="Times New Roman" w:cs="Times New Roman"/>
        </w:rPr>
        <w:t>1.</w:t>
      </w:r>
      <w:r w:rsidRPr="007A533B">
        <w:rPr>
          <w:rFonts w:eastAsia="Times New Roman" w:cs="Times New Roman"/>
        </w:rPr>
        <w:tab/>
        <w:t>Density bonuses are available to residential projects at a rate of 35% over the maximum density or a ratio of one bonus unit to one affordable/employee housing unit, whichever is greater. Density bonuses will be awarded in a manner consistent with Government Code Section 65915.</w:t>
      </w:r>
    </w:p>
    <w:p w14:paraId="5EEE7F36" w14:textId="77777777"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2. </w:t>
      </w:r>
      <w:r w:rsidRPr="007A533B">
        <w:rPr>
          <w:rFonts w:eastAsia="Times New Roman" w:cs="Times New Roman"/>
        </w:rPr>
        <w:tab/>
        <w:t>Units designated as manager/employee housing unit shall not be counted in density calculations.</w:t>
      </w:r>
    </w:p>
    <w:p w14:paraId="7E933618" w14:textId="77777777"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3. </w:t>
      </w:r>
      <w:r w:rsidRPr="007A533B">
        <w:rPr>
          <w:rFonts w:eastAsia="Times New Roman" w:cs="Times New Roman"/>
        </w:rPr>
        <w:tab/>
        <w:t xml:space="preserve">Density bonuses for enclosed, covered parking are available at a rate of one bonus dwelling unit per two enclosed, covered parking spaces. Projects must provide enclosed, covered parking for at least 50% of the units to qualify for bonuses. Density bonuses would be calculated on the surplus of required covered parking spaces greater than 50%. </w:t>
      </w:r>
    </w:p>
    <w:p w14:paraId="708F441B" w14:textId="77777777" w:rsidR="007A533B" w:rsidRDefault="007A533B" w:rsidP="007A533B">
      <w:pPr>
        <w:spacing w:after="0" w:line="280" w:lineRule="atLeast"/>
        <w:jc w:val="both"/>
        <w:rPr>
          <w:rFonts w:eastAsia="Times New Roman" w:cs="Times New Roman"/>
          <w:u w:val="single"/>
        </w:rPr>
      </w:pPr>
    </w:p>
    <w:p w14:paraId="4334B6B8" w14:textId="77777777"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Mixed Use (MU)</w:t>
      </w:r>
    </w:p>
    <w:p w14:paraId="585294DF" w14:textId="77777777" w:rsidR="007A533B" w:rsidRDefault="007A533B" w:rsidP="007A533B">
      <w:pPr>
        <w:spacing w:after="0" w:line="280" w:lineRule="atLeast"/>
        <w:jc w:val="both"/>
        <w:rPr>
          <w:rFonts w:eastAsia="Times New Roman" w:cs="Times New Roman"/>
        </w:rPr>
      </w:pPr>
      <w:r w:rsidRPr="007A533B">
        <w:rPr>
          <w:rFonts w:eastAsia="Times New Roman" w:cs="Times New Roman"/>
        </w:rPr>
        <w:t>The MU designation is intended to provide for a wide range of compatible resident- and visitor- oriented residential and commercial uses, including business, professional, and retail uses; to provide for efficient use of land and increased opportunities for affordable housing; to provide a transition between intensive commercial uses and residential uses; and to be applied to areas with existing mixed use development. MU transitional areas can limit the size of business establishments and restrict uses incompatible with residential districts. Not all areas need contain residential uses. Commercial uses shall conform to strict standards that prohibit obnoxious odors, obtrusive light and glare, and excessive noise.</w:t>
      </w:r>
    </w:p>
    <w:p w14:paraId="73261BA8" w14:textId="77777777" w:rsidR="007A533B" w:rsidRDefault="007A533B" w:rsidP="007A533B">
      <w:pPr>
        <w:numPr>
          <w:ilvl w:val="12"/>
          <w:numId w:val="0"/>
        </w:numPr>
        <w:spacing w:after="0" w:line="280" w:lineRule="atLeast"/>
        <w:jc w:val="both"/>
        <w:rPr>
          <w:rFonts w:eastAsia="Times New Roman" w:cs="Times New Roman"/>
        </w:rPr>
      </w:pPr>
    </w:p>
    <w:p w14:paraId="17FFE469" w14:textId="77777777" w:rsidR="007A533B" w:rsidRPr="007A533B" w:rsidRDefault="007A533B" w:rsidP="007A533B">
      <w:pPr>
        <w:numPr>
          <w:ilvl w:val="12"/>
          <w:numId w:val="0"/>
        </w:numPr>
        <w:spacing w:after="0" w:line="280" w:lineRule="atLeast"/>
        <w:jc w:val="both"/>
        <w:rPr>
          <w:rFonts w:eastAsia="Times New Roman" w:cs="Times New Roman"/>
        </w:rPr>
      </w:pPr>
      <w:r w:rsidRPr="007A533B">
        <w:rPr>
          <w:rFonts w:eastAsia="Times New Roman" w:cs="Times New Roman"/>
        </w:rPr>
        <w:t>The MU designation allows duplexes and triplexes. Condominiums, townhomes, and apartments are allowed subject to Director Review permit. Mobile-home parks are allowed subject to Use Permit.</w:t>
      </w:r>
    </w:p>
    <w:p w14:paraId="4EEA44AB" w14:textId="77777777" w:rsidR="007A533B" w:rsidRPr="007A533B" w:rsidRDefault="007A533B" w:rsidP="007A533B">
      <w:pPr>
        <w:numPr>
          <w:ilvl w:val="12"/>
          <w:numId w:val="0"/>
        </w:numPr>
        <w:spacing w:after="0" w:line="280" w:lineRule="atLeast"/>
        <w:jc w:val="both"/>
        <w:rPr>
          <w:rFonts w:eastAsia="Times New Roman" w:cs="Times New Roman"/>
        </w:rPr>
      </w:pPr>
    </w:p>
    <w:p w14:paraId="0C593AA0" w14:textId="77777777" w:rsidR="007A533B" w:rsidRPr="007A533B" w:rsidRDefault="007A533B" w:rsidP="007A533B">
      <w:pPr>
        <w:numPr>
          <w:ilvl w:val="12"/>
          <w:numId w:val="0"/>
        </w:numPr>
        <w:spacing w:after="0" w:line="280" w:lineRule="atLeast"/>
        <w:jc w:val="both"/>
        <w:rPr>
          <w:rFonts w:eastAsia="Times New Roman" w:cs="Times New Roman"/>
        </w:rPr>
      </w:pPr>
      <w:r w:rsidRPr="007A533B">
        <w:rPr>
          <w:rFonts w:eastAsia="Times New Roman" w:cs="Times New Roman"/>
        </w:rPr>
        <w:t>An additional lot coverage bonus of 10 percent (total coverage of 70 percent) shall be granted to structures that contain mixed commercial and residential (employee or long-term rentals) uses; commercial uses with public accommodations; or commercial uses that front a public pedestrian mall or plaza.</w:t>
      </w:r>
    </w:p>
    <w:p w14:paraId="562AD22F" w14:textId="77777777" w:rsidR="007A533B" w:rsidRPr="007A533B" w:rsidRDefault="007A533B" w:rsidP="007A533B">
      <w:pPr>
        <w:numPr>
          <w:ilvl w:val="12"/>
          <w:numId w:val="0"/>
        </w:numPr>
        <w:tabs>
          <w:tab w:val="left" w:pos="1440"/>
        </w:tabs>
        <w:spacing w:after="0" w:line="280" w:lineRule="atLeast"/>
        <w:ind w:left="360"/>
        <w:jc w:val="both"/>
        <w:rPr>
          <w:rFonts w:eastAsia="Times New Roman" w:cs="Times New Roman"/>
        </w:rPr>
      </w:pPr>
    </w:p>
    <w:p w14:paraId="43CE288B" w14:textId="77777777" w:rsidR="007A533B" w:rsidRPr="007A533B" w:rsidRDefault="007A533B" w:rsidP="007A533B">
      <w:pPr>
        <w:numPr>
          <w:ilvl w:val="12"/>
          <w:numId w:val="0"/>
        </w:numPr>
        <w:spacing w:after="0" w:line="280" w:lineRule="atLeast"/>
        <w:jc w:val="both"/>
        <w:rPr>
          <w:rFonts w:eastAsia="Times New Roman" w:cs="Times New Roman"/>
        </w:rPr>
      </w:pPr>
      <w:r w:rsidRPr="007A533B">
        <w:rPr>
          <w:rFonts w:eastAsia="Times New Roman" w:cs="Times New Roman"/>
        </w:rPr>
        <w:t>Density bonuses are available for affordable housing and enclosed, covered parking. In no case shall projects containing affordable housing and/or parking density bonuses exceed 26 units per acre for residential units and 60 units per acre for commercial lodging units.</w:t>
      </w:r>
    </w:p>
    <w:p w14:paraId="56F643AC" w14:textId="77777777" w:rsidR="007A533B" w:rsidRPr="007A533B" w:rsidRDefault="007A533B" w:rsidP="007A533B">
      <w:pPr>
        <w:numPr>
          <w:ilvl w:val="12"/>
          <w:numId w:val="0"/>
        </w:numPr>
        <w:tabs>
          <w:tab w:val="left" w:pos="1440"/>
        </w:tabs>
        <w:spacing w:after="0" w:line="280" w:lineRule="atLeast"/>
        <w:ind w:left="360"/>
        <w:jc w:val="both"/>
        <w:rPr>
          <w:rFonts w:eastAsia="Times New Roman" w:cs="Times New Roman"/>
        </w:rPr>
      </w:pPr>
    </w:p>
    <w:p w14:paraId="408EFBE5" w14:textId="77777777" w:rsidR="007A533B" w:rsidRPr="007A533B" w:rsidRDefault="007A533B" w:rsidP="007A533B">
      <w:pPr>
        <w:numPr>
          <w:ilvl w:val="12"/>
          <w:numId w:val="0"/>
        </w:numPr>
        <w:spacing w:after="0" w:line="280" w:lineRule="atLeast"/>
        <w:ind w:left="720" w:hanging="360"/>
        <w:jc w:val="both"/>
        <w:rPr>
          <w:rFonts w:eastAsia="Times New Roman" w:cs="Times New Roman"/>
        </w:rPr>
      </w:pPr>
      <w:r w:rsidRPr="007A533B">
        <w:rPr>
          <w:rFonts w:eastAsia="Times New Roman" w:cs="Times New Roman"/>
        </w:rPr>
        <w:t>1.</w:t>
      </w:r>
      <w:r w:rsidRPr="007A533B">
        <w:rPr>
          <w:rFonts w:eastAsia="Times New Roman" w:cs="Times New Roman"/>
        </w:rPr>
        <w:tab/>
        <w:t>Density bonuses are available to residential and commercial lodging projects at a rate of 35% over the maximum density or a ratio of one bonus unit to one affordable/employee housing unit, whichever is greater. Density bonuses will be awarded in a manner consistent with Government Code Section 65915.</w:t>
      </w:r>
    </w:p>
    <w:p w14:paraId="486254EF" w14:textId="77777777"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2. </w:t>
      </w:r>
      <w:r w:rsidRPr="007A533B">
        <w:rPr>
          <w:rFonts w:eastAsia="Times New Roman" w:cs="Times New Roman"/>
        </w:rPr>
        <w:tab/>
        <w:t>Units designated as manager/employee housing unit shall not be counted in density calculations.</w:t>
      </w:r>
    </w:p>
    <w:p w14:paraId="7F613F5E" w14:textId="77777777" w:rsid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3. </w:t>
      </w:r>
      <w:r w:rsidRPr="007A533B">
        <w:rPr>
          <w:rFonts w:eastAsia="Times New Roman" w:cs="Times New Roman"/>
        </w:rPr>
        <w:tab/>
        <w:t xml:space="preserve">Density bonuses for enclosed, covered parking are available at a rate of one bonus dwelling unit per two covered parking spaces. Projects must provide enclosed, covered parking for at least 50% of the units to qualify for bonuses. Density bonuses would be calculated on the surplus of required covered parking spaces greater than 50%. </w:t>
      </w:r>
    </w:p>
    <w:p w14:paraId="50C90497" w14:textId="77777777"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p>
    <w:p w14:paraId="4AC1F00B" w14:textId="77777777"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Commercial Lodging – Moderate, High (CL-M, H)</w:t>
      </w:r>
    </w:p>
    <w:p w14:paraId="0D22B203" w14:textId="77777777"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The CL-M designation is intended to provide commercial lodging units for short-term occupation in or near residential uses. The CL-H designation is intended to provide short-term commercial lodging units in close proximity to commercial/recreational centers.</w:t>
      </w:r>
    </w:p>
    <w:p w14:paraId="0713D2AB" w14:textId="77777777" w:rsidR="007A533B" w:rsidRDefault="007A533B" w:rsidP="007A533B">
      <w:pPr>
        <w:numPr>
          <w:ilvl w:val="12"/>
          <w:numId w:val="0"/>
        </w:numPr>
        <w:spacing w:after="0" w:line="280" w:lineRule="atLeast"/>
        <w:jc w:val="both"/>
        <w:rPr>
          <w:rFonts w:eastAsia="Times New Roman" w:cs="Times New Roman"/>
        </w:rPr>
      </w:pPr>
    </w:p>
    <w:p w14:paraId="1E8598BB" w14:textId="77777777" w:rsidR="007A533B" w:rsidRPr="007A533B" w:rsidRDefault="007A533B" w:rsidP="007A533B">
      <w:pPr>
        <w:numPr>
          <w:ilvl w:val="12"/>
          <w:numId w:val="0"/>
        </w:numPr>
        <w:spacing w:after="0" w:line="280" w:lineRule="atLeast"/>
        <w:jc w:val="both"/>
        <w:rPr>
          <w:rFonts w:eastAsia="Times New Roman" w:cs="Times New Roman"/>
        </w:rPr>
      </w:pPr>
      <w:r w:rsidRPr="007A533B">
        <w:rPr>
          <w:rFonts w:eastAsia="Times New Roman" w:cs="Times New Roman"/>
        </w:rPr>
        <w:t>Duplexes and triplexes are allowed in both designations. Mobile-home parks, condominiums, cooperatives, townhomes, cluster developments, and apartments containing four or more units are allowed in both designations subject to Use Permit.</w:t>
      </w:r>
    </w:p>
    <w:p w14:paraId="0640F0AA" w14:textId="77777777" w:rsidR="007A533B" w:rsidRPr="007A533B" w:rsidRDefault="007A533B" w:rsidP="007A533B">
      <w:pPr>
        <w:numPr>
          <w:ilvl w:val="12"/>
          <w:numId w:val="0"/>
        </w:numPr>
        <w:spacing w:after="0" w:line="280" w:lineRule="atLeast"/>
        <w:jc w:val="both"/>
        <w:rPr>
          <w:rFonts w:eastAsia="Times New Roman" w:cs="Times New Roman"/>
        </w:rPr>
      </w:pPr>
    </w:p>
    <w:p w14:paraId="045D5C1D" w14:textId="77777777" w:rsidR="007A533B" w:rsidRPr="007A533B" w:rsidRDefault="007A533B" w:rsidP="007A533B">
      <w:pPr>
        <w:numPr>
          <w:ilvl w:val="12"/>
          <w:numId w:val="0"/>
        </w:numPr>
        <w:spacing w:after="0" w:line="280" w:lineRule="atLeast"/>
        <w:jc w:val="both"/>
        <w:rPr>
          <w:rFonts w:eastAsia="Times New Roman" w:cs="Times New Roman"/>
        </w:rPr>
      </w:pPr>
      <w:r w:rsidRPr="007A533B">
        <w:rPr>
          <w:rFonts w:eastAsia="Times New Roman" w:cs="Times New Roman"/>
        </w:rPr>
        <w:t>Density bonuses are available for affordable housing and enclosed, covered parking. In no case shall projects containing affordable housing and/or parking density bonuses exceed 26 units/acre for residential units and 60 units per acre for commercial lodging units in the CL-H.</w:t>
      </w:r>
    </w:p>
    <w:p w14:paraId="0CA37A69" w14:textId="77777777" w:rsidR="007A533B" w:rsidRPr="007A533B" w:rsidRDefault="007A533B" w:rsidP="007A533B">
      <w:pPr>
        <w:numPr>
          <w:ilvl w:val="12"/>
          <w:numId w:val="0"/>
        </w:numPr>
        <w:spacing w:after="0" w:line="280" w:lineRule="atLeast"/>
        <w:jc w:val="both"/>
        <w:rPr>
          <w:rFonts w:eastAsia="Times New Roman" w:cs="Times New Roman"/>
        </w:rPr>
      </w:pPr>
    </w:p>
    <w:p w14:paraId="769BD89F" w14:textId="77777777" w:rsidR="007A533B" w:rsidRPr="007A533B" w:rsidRDefault="007A533B" w:rsidP="007A533B">
      <w:pPr>
        <w:numPr>
          <w:ilvl w:val="12"/>
          <w:numId w:val="0"/>
        </w:numPr>
        <w:spacing w:after="0" w:line="280" w:lineRule="atLeast"/>
        <w:ind w:left="720" w:hanging="360"/>
        <w:jc w:val="both"/>
        <w:rPr>
          <w:rFonts w:eastAsia="Times New Roman" w:cs="Times New Roman"/>
        </w:rPr>
      </w:pPr>
      <w:r w:rsidRPr="007A533B">
        <w:rPr>
          <w:rFonts w:eastAsia="Times New Roman" w:cs="Times New Roman"/>
        </w:rPr>
        <w:t>1.</w:t>
      </w:r>
      <w:r w:rsidRPr="007A533B">
        <w:rPr>
          <w:rFonts w:eastAsia="Times New Roman" w:cs="Times New Roman"/>
        </w:rPr>
        <w:tab/>
        <w:t>Density bonuses are available to residential and commercial lodging projects at a rate of 35% over the maximum density or a ratio of one bonus unit to one affordable/employee housing unit, whichever is greater. Density bonuses will be awarded in a manner consistent with Government Code Section 65915.</w:t>
      </w:r>
    </w:p>
    <w:p w14:paraId="53D23ABB" w14:textId="77777777"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2. </w:t>
      </w:r>
      <w:r w:rsidRPr="007A533B">
        <w:rPr>
          <w:rFonts w:eastAsia="Times New Roman" w:cs="Times New Roman"/>
        </w:rPr>
        <w:tab/>
        <w:t>Units designated as manager/employee housing unit shall not be counted in density calculations.</w:t>
      </w:r>
    </w:p>
    <w:p w14:paraId="4323F239" w14:textId="77777777" w:rsidR="007A533B" w:rsidRPr="007A533B" w:rsidRDefault="007A533B" w:rsidP="007A533B">
      <w:pPr>
        <w:numPr>
          <w:ilvl w:val="12"/>
          <w:numId w:val="0"/>
        </w:numPr>
        <w:tabs>
          <w:tab w:val="left" w:pos="3600"/>
        </w:tabs>
        <w:spacing w:after="0" w:line="280" w:lineRule="atLeast"/>
        <w:ind w:left="720" w:hanging="360"/>
        <w:jc w:val="both"/>
        <w:rPr>
          <w:rFonts w:eastAsia="Times New Roman" w:cs="Times New Roman"/>
        </w:rPr>
      </w:pPr>
      <w:r w:rsidRPr="007A533B">
        <w:rPr>
          <w:rFonts w:eastAsia="Times New Roman" w:cs="Times New Roman"/>
        </w:rPr>
        <w:t xml:space="preserve">3. </w:t>
      </w:r>
      <w:r w:rsidRPr="007A533B">
        <w:rPr>
          <w:rFonts w:eastAsia="Times New Roman" w:cs="Times New Roman"/>
        </w:rPr>
        <w:tab/>
        <w:t xml:space="preserve">Density bonuses for enclosed, covered parking are available at a rate of one bonus dwelling unit per two enclosed, covered parking spaces. Projects must provide enclosed, covered parking for at least 50% of the units to qualify for bonuses. Density bonuses would be calculated on the surplus of required covered parking spaces greater than 50%. </w:t>
      </w:r>
    </w:p>
    <w:p w14:paraId="551049D3" w14:textId="77777777" w:rsidR="007A533B" w:rsidRPr="007A533B" w:rsidRDefault="007A533B" w:rsidP="007A533B">
      <w:pPr>
        <w:spacing w:after="0" w:line="280" w:lineRule="atLeast"/>
        <w:jc w:val="both"/>
        <w:rPr>
          <w:rFonts w:eastAsia="Times New Roman" w:cs="Times New Roman"/>
        </w:rPr>
      </w:pPr>
    </w:p>
    <w:p w14:paraId="6CED0AAD" w14:textId="77777777"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 xml:space="preserve">In addition to the above, the Mono County Housing Mitigation Requirements (Mono County Code, Chapter 15.40) provide for density bonus incentives pursuant to the California Density Bonus Law for any project that meets the criteria set forth in Government Code Section 65915.  The Housing Mitigation Requirements also allow the county to consider an additional density bonus upon </w:t>
      </w:r>
      <w:r w:rsidRPr="007A533B">
        <w:rPr>
          <w:rFonts w:eastAsia="Times New Roman" w:cs="ArialMT"/>
          <w:lang w:bidi="en-US"/>
        </w:rPr>
        <w:t>request of the developer when such request can be accommodated within the parameters of the Mono County general plan or any applicable specific plan.</w:t>
      </w:r>
    </w:p>
    <w:p w14:paraId="5CBF85AF" w14:textId="77777777" w:rsidR="007A533B" w:rsidRPr="007A533B" w:rsidRDefault="007A533B" w:rsidP="007A533B">
      <w:pPr>
        <w:spacing w:after="0" w:line="280" w:lineRule="atLeast"/>
        <w:jc w:val="both"/>
        <w:rPr>
          <w:rFonts w:eastAsia="Times New Roman" w:cs="Times New Roman"/>
        </w:rPr>
      </w:pPr>
    </w:p>
    <w:p w14:paraId="3A7867B6" w14:textId="77777777"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Mono County also has several land use designations that allow for the use of a mobile home as a single-family residence, provided that the mobile home is newer than 10 years old and meets other specified requirements. The following land use designations allow mobile homes to be used as single-family residences:</w:t>
      </w:r>
    </w:p>
    <w:p w14:paraId="382F827D" w14:textId="77777777" w:rsidR="007A533B" w:rsidRPr="007A533B" w:rsidRDefault="007A533B" w:rsidP="007A533B">
      <w:pPr>
        <w:spacing w:after="0" w:line="280" w:lineRule="atLeast"/>
        <w:jc w:val="both"/>
        <w:rPr>
          <w:rFonts w:eastAsia="Times New Roman" w:cs="Times New Roman"/>
        </w:rPr>
      </w:pPr>
    </w:p>
    <w:p w14:paraId="11ADD94B" w14:textId="77777777" w:rsidR="007A533B" w:rsidRPr="007A533B" w:rsidRDefault="007A533B" w:rsidP="007A533B">
      <w:pPr>
        <w:spacing w:after="0" w:line="280" w:lineRule="atLeast"/>
        <w:ind w:left="360"/>
        <w:jc w:val="both"/>
        <w:rPr>
          <w:rFonts w:eastAsia="Times New Roman" w:cs="Times New Roman"/>
        </w:rPr>
      </w:pPr>
      <w:r w:rsidRPr="007A533B">
        <w:rPr>
          <w:rFonts w:eastAsia="Times New Roman" w:cs="Times New Roman"/>
        </w:rPr>
        <w:t>Estate Residential (ER) – minimum parcel size 1 acre</w:t>
      </w:r>
    </w:p>
    <w:p w14:paraId="5575CA97" w14:textId="77777777" w:rsidR="007A533B" w:rsidRPr="007A533B" w:rsidRDefault="007A533B" w:rsidP="007A533B">
      <w:pPr>
        <w:spacing w:after="0" w:line="280" w:lineRule="atLeast"/>
        <w:ind w:left="360"/>
        <w:jc w:val="both"/>
        <w:rPr>
          <w:rFonts w:eastAsia="Times New Roman" w:cs="Times New Roman"/>
        </w:rPr>
      </w:pPr>
      <w:r w:rsidRPr="007A533B">
        <w:rPr>
          <w:rFonts w:eastAsia="Times New Roman" w:cs="Times New Roman"/>
        </w:rPr>
        <w:t>Rural Residential (RR) – minimum parcel size 1 acre</w:t>
      </w:r>
    </w:p>
    <w:p w14:paraId="22E9F37A" w14:textId="77777777" w:rsidR="007A533B" w:rsidRPr="007A533B" w:rsidRDefault="007A533B" w:rsidP="007A533B">
      <w:pPr>
        <w:spacing w:after="0" w:line="280" w:lineRule="atLeast"/>
        <w:ind w:left="360"/>
        <w:jc w:val="both"/>
        <w:rPr>
          <w:rFonts w:eastAsia="Times New Roman" w:cs="Times New Roman"/>
        </w:rPr>
      </w:pPr>
      <w:r w:rsidRPr="007A533B">
        <w:rPr>
          <w:rFonts w:eastAsia="Times New Roman" w:cs="Times New Roman"/>
        </w:rPr>
        <w:t>Rural Mobile Home (RMH) – minimum parcel size 1 acre</w:t>
      </w:r>
    </w:p>
    <w:p w14:paraId="042E4306" w14:textId="77777777" w:rsidR="007A533B" w:rsidRPr="007A533B" w:rsidRDefault="007A533B" w:rsidP="007A533B">
      <w:pPr>
        <w:spacing w:after="0" w:line="280" w:lineRule="atLeast"/>
        <w:ind w:left="360"/>
        <w:jc w:val="both"/>
        <w:rPr>
          <w:rFonts w:eastAsia="Times New Roman" w:cs="Times New Roman"/>
        </w:rPr>
      </w:pPr>
      <w:r w:rsidRPr="007A533B">
        <w:rPr>
          <w:rFonts w:eastAsia="Times New Roman" w:cs="Times New Roman"/>
        </w:rPr>
        <w:t>Single-family Residential (SFR) – minimum parcel size 7,500 square feet</w:t>
      </w:r>
    </w:p>
    <w:p w14:paraId="7DCDFD64" w14:textId="77777777" w:rsidR="007A533B" w:rsidRPr="007A533B" w:rsidRDefault="007A533B" w:rsidP="007A533B">
      <w:pPr>
        <w:spacing w:after="0" w:line="280" w:lineRule="atLeast"/>
        <w:jc w:val="both"/>
        <w:rPr>
          <w:rFonts w:eastAsia="Times New Roman" w:cs="Times New Roman"/>
        </w:rPr>
      </w:pPr>
    </w:p>
    <w:p w14:paraId="627ED8B7" w14:textId="77777777" w:rsidR="007A533B" w:rsidRPr="007A533B" w:rsidRDefault="007A533B" w:rsidP="007A533B">
      <w:pPr>
        <w:spacing w:after="0" w:line="280" w:lineRule="atLeast"/>
        <w:jc w:val="both"/>
        <w:rPr>
          <w:rFonts w:eastAsia="Times New Roman" w:cs="Times New Roman"/>
        </w:rPr>
      </w:pPr>
      <w:r w:rsidRPr="007A533B">
        <w:rPr>
          <w:rFonts w:eastAsia="Times New Roman" w:cs="Times New Roman"/>
        </w:rPr>
        <w:t>Lands designated SFR are generally in community areas. Lands designated ER, RR, and RMH are generally in more rural areas, outside community areas, where land may be less expensive.</w:t>
      </w:r>
    </w:p>
    <w:p w14:paraId="374CDA32" w14:textId="77777777" w:rsidR="007A533B" w:rsidRDefault="007A533B" w:rsidP="007A533B">
      <w:pPr>
        <w:spacing w:after="0" w:line="280" w:lineRule="atLeast"/>
        <w:jc w:val="both"/>
        <w:rPr>
          <w:rFonts w:eastAsia="Times New Roman" w:cs="Times New Roman"/>
        </w:rPr>
      </w:pPr>
    </w:p>
    <w:p w14:paraId="1A5B715B" w14:textId="77777777" w:rsidR="007A533B" w:rsidRPr="00BA6536" w:rsidRDefault="002E1FEA" w:rsidP="003D5E81">
      <w:pPr>
        <w:pStyle w:val="Heading3"/>
      </w:pPr>
      <w:bookmarkStart w:id="156" w:name="_Toc383700024"/>
      <w:r>
        <w:t xml:space="preserve">c. </w:t>
      </w:r>
      <w:r w:rsidR="007A533B" w:rsidRPr="00BA6536">
        <w:t>AVAILABILITY OF INFRASTRUCTURE TO IDENTIFIED LANDS</w:t>
      </w:r>
      <w:bookmarkEnd w:id="156"/>
      <w:r w:rsidR="007A533B" w:rsidRPr="00BA6536">
        <w:fldChar w:fldCharType="begin"/>
      </w:r>
      <w:r w:rsidR="007A533B" w:rsidRPr="00BA6536">
        <w:instrText xml:space="preserve"> TC"</w:instrText>
      </w:r>
      <w:bookmarkStart w:id="157" w:name="_Toc53806466"/>
      <w:bookmarkStart w:id="158" w:name="_Toc66156058"/>
      <w:bookmarkStart w:id="159" w:name="_Toc76443978"/>
      <w:bookmarkStart w:id="160" w:name="_Toc123887118"/>
      <w:r w:rsidR="007A533B" w:rsidRPr="00BA6536">
        <w:instrText>Availability of Infrastructure</w:instrText>
      </w:r>
      <w:bookmarkEnd w:id="157"/>
      <w:bookmarkEnd w:id="158"/>
      <w:bookmarkEnd w:id="159"/>
      <w:bookmarkEnd w:id="160"/>
      <w:r w:rsidR="007A533B" w:rsidRPr="00BA6536">
        <w:instrText xml:space="preserve">"\l 3 </w:instrText>
      </w:r>
      <w:r w:rsidR="007A533B" w:rsidRPr="00BA6536">
        <w:fldChar w:fldCharType="end"/>
      </w:r>
    </w:p>
    <w:p w14:paraId="41186495" w14:textId="77777777"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Much of the land available for residential development in the unincorporated area requires individual septic systems and wells. Some areas of the County have small community water systems but still require individual septic systems; other areas have community sewer system</w:t>
      </w:r>
      <w:r w:rsidR="003362E8" w:rsidRPr="00BA6536">
        <w:rPr>
          <w:rFonts w:eastAsia="Times New Roman" w:cs="Times New Roman"/>
        </w:rPr>
        <w:t>s but require individual wells.  There is sufficient capacity in the community water and sewer systems and sufficient groundwater resources and percolation capabilities outside of community water</w:t>
      </w:r>
      <w:r w:rsidR="00B50C4C" w:rsidRPr="00BA6536">
        <w:rPr>
          <w:rFonts w:eastAsia="Times New Roman" w:cs="Times New Roman"/>
        </w:rPr>
        <w:t>/sewer</w:t>
      </w:r>
      <w:r w:rsidR="003362E8" w:rsidRPr="00BA6536">
        <w:rPr>
          <w:rFonts w:eastAsia="Times New Roman" w:cs="Times New Roman"/>
        </w:rPr>
        <w:t xml:space="preserve"> system areas to accommodate the regional housing need allocation. </w:t>
      </w:r>
    </w:p>
    <w:p w14:paraId="5FD78EA1" w14:textId="77777777" w:rsidR="007A533B" w:rsidRPr="00BA6536" w:rsidRDefault="007A533B" w:rsidP="007A533B">
      <w:pPr>
        <w:spacing w:after="0" w:line="280" w:lineRule="atLeast"/>
        <w:jc w:val="both"/>
        <w:rPr>
          <w:rFonts w:eastAsia="Times New Roman" w:cs="Times New Roman"/>
        </w:rPr>
      </w:pPr>
    </w:p>
    <w:p w14:paraId="6B87A2E8"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Antelope Valley</w:t>
      </w:r>
      <w:r w:rsidRPr="00BA6536">
        <w:rPr>
          <w:rFonts w:eastAsia="Times New Roman" w:cs="Times New Roman"/>
        </w:rPr>
        <w:tab/>
        <w:t>Individual wells and septic systems required.</w:t>
      </w:r>
    </w:p>
    <w:p w14:paraId="4D81981D" w14:textId="77777777" w:rsidR="007A533B" w:rsidRPr="00BA6536" w:rsidRDefault="007A533B" w:rsidP="007A533B">
      <w:pPr>
        <w:spacing w:after="0" w:line="280" w:lineRule="atLeast"/>
        <w:ind w:left="2160" w:hanging="2160"/>
        <w:jc w:val="both"/>
        <w:rPr>
          <w:rFonts w:eastAsia="Times New Roman" w:cs="Times New Roman"/>
        </w:rPr>
      </w:pPr>
    </w:p>
    <w:p w14:paraId="7FB577DC"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Bridgeport Valley</w:t>
      </w:r>
      <w:r w:rsidRPr="00BA6536">
        <w:rPr>
          <w:rFonts w:eastAsia="Times New Roman" w:cs="Times New Roman"/>
        </w:rPr>
        <w:tab/>
        <w:t>Community water within community of Bridgeport and Evans Tract with adequate capacity. Community sewer system within Bridgeport with adequate capacity. Individual systems required elsewhere.</w:t>
      </w:r>
    </w:p>
    <w:p w14:paraId="6FC41F44" w14:textId="77777777" w:rsidR="007A533B" w:rsidRPr="00BA6536" w:rsidRDefault="007A533B" w:rsidP="007A533B">
      <w:pPr>
        <w:spacing w:after="0" w:line="280" w:lineRule="atLeast"/>
        <w:ind w:left="2160" w:hanging="2160"/>
        <w:jc w:val="both"/>
        <w:rPr>
          <w:rFonts w:eastAsia="Times New Roman" w:cs="Times New Roman"/>
        </w:rPr>
      </w:pPr>
    </w:p>
    <w:p w14:paraId="51F066B8"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Mono City</w:t>
      </w:r>
      <w:r w:rsidRPr="00BA6536">
        <w:rPr>
          <w:rFonts w:eastAsia="Times New Roman" w:cs="Times New Roman"/>
        </w:rPr>
        <w:tab/>
        <w:t>Mutual water company supplies water; individual septic systems required.</w:t>
      </w:r>
    </w:p>
    <w:p w14:paraId="0EA173CB" w14:textId="77777777" w:rsidR="007A533B" w:rsidRPr="00BA6536" w:rsidRDefault="007A533B" w:rsidP="007A533B">
      <w:pPr>
        <w:spacing w:after="0" w:line="280" w:lineRule="atLeast"/>
        <w:ind w:left="2160" w:hanging="2160"/>
        <w:jc w:val="both"/>
        <w:rPr>
          <w:rFonts w:eastAsia="Times New Roman" w:cs="Times New Roman"/>
        </w:rPr>
      </w:pPr>
    </w:p>
    <w:p w14:paraId="62E3E924"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Virginia Lakes</w:t>
      </w:r>
      <w:r w:rsidRPr="00BA6536">
        <w:rPr>
          <w:rFonts w:eastAsia="Times New Roman" w:cs="Times New Roman"/>
        </w:rPr>
        <w:tab/>
        <w:t>Mutual water company supplies water; individual septic systems required.</w:t>
      </w:r>
    </w:p>
    <w:p w14:paraId="5C740555" w14:textId="77777777" w:rsidR="007A533B" w:rsidRPr="00BA6536" w:rsidRDefault="007A533B" w:rsidP="007A533B">
      <w:pPr>
        <w:spacing w:after="0" w:line="280" w:lineRule="atLeast"/>
        <w:ind w:left="2160" w:hanging="2160"/>
        <w:jc w:val="both"/>
        <w:rPr>
          <w:rFonts w:eastAsia="Times New Roman" w:cs="Times New Roman"/>
        </w:rPr>
      </w:pPr>
    </w:p>
    <w:p w14:paraId="69FD865D"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Lee Vining</w:t>
      </w:r>
      <w:r w:rsidRPr="00BA6536">
        <w:rPr>
          <w:rFonts w:eastAsia="Times New Roman" w:cs="Times New Roman"/>
        </w:rPr>
        <w:tab/>
        <w:t>Community water and sewer system with adequate capacity. Individual systems required in the rest of Mono Basin.</w:t>
      </w:r>
    </w:p>
    <w:p w14:paraId="3E187A9F" w14:textId="77777777" w:rsidR="007A533B" w:rsidRPr="00BA6536" w:rsidRDefault="007A533B" w:rsidP="007A533B">
      <w:pPr>
        <w:spacing w:after="0" w:line="280" w:lineRule="atLeast"/>
        <w:ind w:left="2160" w:hanging="2160"/>
        <w:jc w:val="both"/>
        <w:rPr>
          <w:rFonts w:eastAsia="Times New Roman" w:cs="Times New Roman"/>
        </w:rPr>
      </w:pPr>
    </w:p>
    <w:p w14:paraId="4C2501A0"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June Lake</w:t>
      </w:r>
      <w:r w:rsidRPr="00BA6536">
        <w:rPr>
          <w:rFonts w:eastAsia="Times New Roman" w:cs="Times New Roman"/>
        </w:rPr>
        <w:tab/>
        <w:t>Community water and sewer system, currently with adequate capacity. Large developments may be required to make improvements to the water distribution system that is currently inadequate in some areas of the community.</w:t>
      </w:r>
    </w:p>
    <w:p w14:paraId="42BC2520" w14:textId="77777777" w:rsidR="007A533B" w:rsidRPr="00BA6536" w:rsidRDefault="007A533B" w:rsidP="007A533B">
      <w:pPr>
        <w:spacing w:after="0" w:line="280" w:lineRule="atLeast"/>
        <w:ind w:left="2160" w:hanging="2160"/>
        <w:jc w:val="both"/>
        <w:rPr>
          <w:rFonts w:eastAsia="Times New Roman" w:cs="Times New Roman"/>
        </w:rPr>
      </w:pPr>
    </w:p>
    <w:p w14:paraId="46E919D6"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Long Valley</w:t>
      </w:r>
      <w:r w:rsidRPr="00BA6536">
        <w:rPr>
          <w:rFonts w:eastAsia="Times New Roman" w:cs="Times New Roman"/>
        </w:rPr>
        <w:tab/>
        <w:t xml:space="preserve">Community sewer system in Crowley; septic systems elsewhere. Mutual water companies in Crowley and Sunny Slopes; individual wells elsewhere. </w:t>
      </w:r>
    </w:p>
    <w:p w14:paraId="7790FF14" w14:textId="77777777" w:rsidR="00BE073A" w:rsidRPr="00BA6536" w:rsidRDefault="00BE073A" w:rsidP="007A533B">
      <w:pPr>
        <w:spacing w:after="0" w:line="280" w:lineRule="atLeast"/>
        <w:ind w:left="2160" w:hanging="2160"/>
        <w:jc w:val="both"/>
        <w:rPr>
          <w:rFonts w:eastAsia="Times New Roman" w:cs="Times New Roman"/>
        </w:rPr>
      </w:pPr>
    </w:p>
    <w:p w14:paraId="1096A864"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Wheeler Crest</w:t>
      </w:r>
      <w:r w:rsidRPr="00BA6536">
        <w:rPr>
          <w:rFonts w:eastAsia="Times New Roman" w:cs="Times New Roman"/>
        </w:rPr>
        <w:tab/>
        <w:t>Mutual water company at Rimrock; individual wells elsewhere.  Individual septic system required.</w:t>
      </w:r>
    </w:p>
    <w:p w14:paraId="7EC6BD32" w14:textId="77777777" w:rsidR="007A533B" w:rsidRPr="00BA6536" w:rsidRDefault="007A533B" w:rsidP="007A533B">
      <w:pPr>
        <w:spacing w:after="0" w:line="280" w:lineRule="atLeast"/>
        <w:ind w:left="2160" w:hanging="2160"/>
        <w:jc w:val="both"/>
        <w:rPr>
          <w:rFonts w:eastAsia="Times New Roman" w:cs="Times New Roman"/>
        </w:rPr>
      </w:pPr>
    </w:p>
    <w:p w14:paraId="29552233"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Paradise</w:t>
      </w:r>
      <w:r w:rsidRPr="00BA6536">
        <w:rPr>
          <w:rFonts w:eastAsia="Times New Roman" w:cs="Times New Roman"/>
        </w:rPr>
        <w:tab/>
        <w:t>Mutual water company at Paradise. Individual septic systems required.</w:t>
      </w:r>
    </w:p>
    <w:p w14:paraId="420DBBE5" w14:textId="77777777" w:rsidR="007A533B" w:rsidRPr="00BA6536" w:rsidRDefault="007A533B" w:rsidP="007A533B">
      <w:pPr>
        <w:spacing w:after="0" w:line="280" w:lineRule="atLeast"/>
        <w:ind w:left="2160" w:hanging="2160"/>
        <w:jc w:val="both"/>
        <w:rPr>
          <w:rFonts w:eastAsia="Times New Roman" w:cs="Times New Roman"/>
        </w:rPr>
      </w:pPr>
    </w:p>
    <w:p w14:paraId="23EE10F7"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Tri-Valley</w:t>
      </w:r>
      <w:r w:rsidRPr="00BA6536">
        <w:rPr>
          <w:rFonts w:eastAsia="Times New Roman" w:cs="Times New Roman"/>
        </w:rPr>
        <w:tab/>
        <w:t>Mutual water companies in White Mountain Estates, Osage Ranch; individual wells elsewhere.  Individual septic systems required.</w:t>
      </w:r>
    </w:p>
    <w:p w14:paraId="7F0DA639" w14:textId="77777777" w:rsidR="007A533B" w:rsidRPr="00BA6536" w:rsidRDefault="007A533B" w:rsidP="007A533B">
      <w:pPr>
        <w:spacing w:after="0" w:line="280" w:lineRule="atLeast"/>
        <w:ind w:left="3060" w:hanging="3060"/>
        <w:jc w:val="both"/>
        <w:rPr>
          <w:rFonts w:eastAsia="Times New Roman" w:cs="Times New Roman"/>
        </w:rPr>
      </w:pPr>
      <w:r w:rsidRPr="00BA6536">
        <w:rPr>
          <w:rFonts w:eastAsia="Times New Roman" w:cs="Times New Roman"/>
        </w:rPr>
        <w:t xml:space="preserve">Outside </w:t>
      </w:r>
    </w:p>
    <w:p w14:paraId="49AED862" w14:textId="77777777" w:rsidR="007A533B" w:rsidRPr="00BA6536" w:rsidRDefault="007A533B" w:rsidP="007A533B">
      <w:pPr>
        <w:spacing w:after="0" w:line="280" w:lineRule="atLeast"/>
        <w:ind w:left="2160" w:hanging="2160"/>
        <w:jc w:val="both"/>
        <w:rPr>
          <w:rFonts w:eastAsia="Times New Roman" w:cs="Times New Roman"/>
        </w:rPr>
      </w:pPr>
      <w:r w:rsidRPr="00BA6536">
        <w:rPr>
          <w:rFonts w:eastAsia="Times New Roman" w:cs="Times New Roman"/>
        </w:rPr>
        <w:t>Community areas</w:t>
      </w:r>
      <w:r w:rsidRPr="00BA6536">
        <w:rPr>
          <w:rFonts w:eastAsia="Times New Roman" w:cs="Times New Roman"/>
        </w:rPr>
        <w:tab/>
        <w:t>Individuals wells and septic systems required. Community systems may be required for large developments (subdivisions, specific plan developments).</w:t>
      </w:r>
    </w:p>
    <w:p w14:paraId="53B01539" w14:textId="77777777" w:rsidR="007A533B" w:rsidRPr="00BA6536" w:rsidRDefault="007A533B" w:rsidP="007A533B">
      <w:pPr>
        <w:spacing w:after="0" w:line="280" w:lineRule="atLeast"/>
        <w:jc w:val="both"/>
        <w:rPr>
          <w:rFonts w:eastAsia="Times New Roman" w:cs="Times New Roman"/>
        </w:rPr>
      </w:pPr>
    </w:p>
    <w:p w14:paraId="252AFB95" w14:textId="77777777"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Water quality requirements affect both community water and sewer systems and individual homeowners. Lahontan Regional Water Quality Control Board's (RWQCB) water quality regulations affect the minimum lot size on which development can occur depending on whether community water and/or sewer systems are available; i.e.,</w:t>
      </w:r>
    </w:p>
    <w:p w14:paraId="7D024EBA" w14:textId="77777777" w:rsidR="007A533B" w:rsidRPr="00BA6536" w:rsidRDefault="007A533B" w:rsidP="007A533B">
      <w:pPr>
        <w:spacing w:after="0" w:line="280" w:lineRule="atLeast"/>
        <w:jc w:val="both"/>
        <w:rPr>
          <w:rFonts w:eastAsia="Times New Roman" w:cs="Times New Roman"/>
        </w:rPr>
      </w:pPr>
    </w:p>
    <w:p w14:paraId="5C934056" w14:textId="77777777" w:rsidR="007A533B" w:rsidRPr="00BA6536" w:rsidRDefault="007A533B" w:rsidP="007A533B">
      <w:pPr>
        <w:spacing w:after="0" w:line="280" w:lineRule="atLeast"/>
        <w:ind w:left="720"/>
        <w:jc w:val="both"/>
        <w:rPr>
          <w:rFonts w:eastAsia="Times New Roman" w:cs="Times New Roman"/>
        </w:rPr>
      </w:pPr>
      <w:r w:rsidRPr="00BA6536">
        <w:rPr>
          <w:rFonts w:eastAsia="Times New Roman" w:cs="Times New Roman"/>
        </w:rPr>
        <w:t>Community water and sewer available  –  no minimum lot size established by RWQCB;</w:t>
      </w:r>
    </w:p>
    <w:p w14:paraId="18180C5F" w14:textId="77777777" w:rsidR="007A533B" w:rsidRPr="00BA6536" w:rsidRDefault="007A533B" w:rsidP="007A533B">
      <w:pPr>
        <w:spacing w:after="0" w:line="280" w:lineRule="atLeast"/>
        <w:ind w:left="720"/>
        <w:jc w:val="both"/>
        <w:rPr>
          <w:rFonts w:eastAsia="Times New Roman" w:cs="Times New Roman"/>
        </w:rPr>
      </w:pPr>
    </w:p>
    <w:p w14:paraId="6D9F45EA" w14:textId="77777777" w:rsidR="007A533B" w:rsidRPr="00BA6536" w:rsidRDefault="007A533B" w:rsidP="007A533B">
      <w:pPr>
        <w:spacing w:after="0" w:line="280" w:lineRule="atLeast"/>
        <w:ind w:left="720"/>
        <w:jc w:val="both"/>
        <w:rPr>
          <w:rFonts w:eastAsia="Times New Roman" w:cs="Times New Roman"/>
        </w:rPr>
      </w:pPr>
      <w:r w:rsidRPr="00BA6536">
        <w:rPr>
          <w:rFonts w:eastAsia="Times New Roman" w:cs="Times New Roman"/>
        </w:rPr>
        <w:t>Community water available, individual septic required  –  20,000 square foot minimum lot size required by RQWCB;</w:t>
      </w:r>
    </w:p>
    <w:p w14:paraId="124A250F" w14:textId="77777777" w:rsidR="007A533B" w:rsidRPr="00BA6536" w:rsidRDefault="007A533B" w:rsidP="007A533B">
      <w:pPr>
        <w:spacing w:after="0" w:line="280" w:lineRule="atLeast"/>
        <w:ind w:left="720"/>
        <w:jc w:val="both"/>
        <w:rPr>
          <w:rFonts w:eastAsia="Times New Roman" w:cs="Times New Roman"/>
        </w:rPr>
      </w:pPr>
    </w:p>
    <w:p w14:paraId="417C7E73" w14:textId="77777777" w:rsidR="007A533B" w:rsidRPr="00BA6536" w:rsidRDefault="007A533B" w:rsidP="007A533B">
      <w:pPr>
        <w:spacing w:after="0" w:line="280" w:lineRule="atLeast"/>
        <w:ind w:left="720"/>
        <w:jc w:val="both"/>
        <w:rPr>
          <w:rFonts w:eastAsia="Times New Roman" w:cs="Times New Roman"/>
        </w:rPr>
      </w:pPr>
      <w:r w:rsidRPr="00BA6536">
        <w:rPr>
          <w:rFonts w:eastAsia="Times New Roman" w:cs="Times New Roman"/>
        </w:rPr>
        <w:t>No community systems available, individual wells and septic required  –  40,000 square foot minimum lot size required by RWQCB; and</w:t>
      </w:r>
    </w:p>
    <w:p w14:paraId="600BDEFD" w14:textId="77777777" w:rsidR="007A533B" w:rsidRPr="00BA6536" w:rsidRDefault="007A533B" w:rsidP="007A533B">
      <w:pPr>
        <w:tabs>
          <w:tab w:val="left" w:pos="72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720"/>
        <w:jc w:val="both"/>
        <w:rPr>
          <w:rFonts w:eastAsia="Times New Roman" w:cs="Times New Roman"/>
        </w:rPr>
      </w:pPr>
      <w:r w:rsidRPr="00BA6536">
        <w:rPr>
          <w:rFonts w:eastAsia="Times New Roman" w:cs="Times New Roman"/>
        </w:rPr>
        <w:tab/>
      </w:r>
    </w:p>
    <w:p w14:paraId="42766840" w14:textId="77777777" w:rsidR="007A533B" w:rsidRPr="00BA6536" w:rsidRDefault="007A533B" w:rsidP="007A533B">
      <w:pPr>
        <w:tabs>
          <w:tab w:val="left" w:pos="72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720"/>
        <w:jc w:val="both"/>
        <w:rPr>
          <w:rFonts w:eastAsia="Times New Roman" w:cs="Times New Roman"/>
        </w:rPr>
      </w:pPr>
      <w:r w:rsidRPr="00BA6536">
        <w:rPr>
          <w:rFonts w:eastAsia="Times New Roman" w:cs="Times New Roman"/>
        </w:rPr>
        <w:tab/>
        <w:t>Minimum lot sizes in cluster subdivisions or similar developments not served by a public sewer system may be reduced if density standards for the whole subdivision are not increased above the gross density specified in the designation, provided that all other health requirements are met.</w:t>
      </w:r>
    </w:p>
    <w:p w14:paraId="538A3F02" w14:textId="77777777" w:rsidR="007A533B" w:rsidRPr="00BA6536" w:rsidRDefault="007A533B" w:rsidP="007A533B">
      <w:pPr>
        <w:spacing w:after="0" w:line="280" w:lineRule="atLeast"/>
        <w:jc w:val="both"/>
        <w:rPr>
          <w:rFonts w:eastAsia="Times New Roman" w:cs="Times New Roman"/>
        </w:rPr>
      </w:pPr>
    </w:p>
    <w:p w14:paraId="79A00ECF" w14:textId="77777777"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In some areas in the County where individual lots are 7,500 square feet, these requirements make it necessary to have more than one lot to build a house. Some areas of the County also have soils that are not conducive to standard septic system designs. Those areas may require additional septic system improvements that increase the cost of building.</w:t>
      </w:r>
    </w:p>
    <w:p w14:paraId="0C65084C" w14:textId="77777777" w:rsidR="007A533B" w:rsidRPr="00BA6536" w:rsidRDefault="007A533B" w:rsidP="007A533B">
      <w:pPr>
        <w:spacing w:after="0" w:line="280" w:lineRule="atLeast"/>
        <w:jc w:val="both"/>
        <w:rPr>
          <w:rFonts w:eastAsia="Times New Roman" w:cs="Times New Roman"/>
        </w:rPr>
      </w:pPr>
    </w:p>
    <w:p w14:paraId="1AFC1112" w14:textId="77777777"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 xml:space="preserve">The lack of improved roads throughout the County also affects the potential for development. The main thoroughfares in the County are U.S. 395, U.S. 6 and State Routes 120, 158, 167, 108, and 89. Each of the community areas has a road system; some of these roads are improved, some are not. Some roads in community areas are included in the County road system; some are not. Those that are not are often unimproved. Outside community areas, numerous single-lane and two-lane dirt and gravel roads exist as a result of mining and logging activity. Many of these roads are used by off-road vehicles. </w:t>
      </w:r>
    </w:p>
    <w:p w14:paraId="5327A1A0" w14:textId="77777777" w:rsidR="007A533B" w:rsidRPr="00BA6536" w:rsidRDefault="007A533B" w:rsidP="007A533B">
      <w:pPr>
        <w:spacing w:after="0" w:line="280" w:lineRule="atLeast"/>
        <w:jc w:val="both"/>
        <w:rPr>
          <w:rFonts w:eastAsia="Times New Roman" w:cs="Times New Roman"/>
        </w:rPr>
      </w:pPr>
    </w:p>
    <w:p w14:paraId="327058E8" w14:textId="77777777"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 xml:space="preserve">Economic concerns focus on the need for development projects to "pay their own way" and on the need to provide for local economic growth. Most of the services and infrastructure in the County are provided either by the County or local special districts. All of these agencies have been hard hit by lower property tax revenues and increasing service demands. The County must ensure that development does not adversely impact service agencies. </w:t>
      </w:r>
    </w:p>
    <w:p w14:paraId="1B0F97B2" w14:textId="77777777" w:rsidR="007A533B" w:rsidRPr="00BA6536" w:rsidRDefault="007A533B" w:rsidP="007A533B">
      <w:pPr>
        <w:spacing w:after="0" w:line="280" w:lineRule="atLeast"/>
        <w:jc w:val="both"/>
        <w:rPr>
          <w:rFonts w:eastAsia="Times New Roman" w:cs="Times New Roman"/>
        </w:rPr>
      </w:pPr>
    </w:p>
    <w:p w14:paraId="403B5238" w14:textId="77777777" w:rsidR="007A533B" w:rsidRPr="00BA6536" w:rsidRDefault="002E1FEA" w:rsidP="003D5E81">
      <w:pPr>
        <w:pStyle w:val="Heading3"/>
      </w:pPr>
      <w:bookmarkStart w:id="161" w:name="_Toc383700025"/>
      <w:r>
        <w:t xml:space="preserve">d. </w:t>
      </w:r>
      <w:r w:rsidR="007A533B" w:rsidRPr="00BA6536">
        <w:t>REDEVELOPABLE SITES</w:t>
      </w:r>
      <w:bookmarkEnd w:id="161"/>
      <w:r w:rsidR="007A533B" w:rsidRPr="00BA6536">
        <w:fldChar w:fldCharType="begin"/>
      </w:r>
      <w:r w:rsidR="007A533B" w:rsidRPr="00BA6536">
        <w:instrText xml:space="preserve"> TC"</w:instrText>
      </w:r>
      <w:bookmarkStart w:id="162" w:name="_Toc53806467"/>
      <w:bookmarkStart w:id="163" w:name="_Toc66156059"/>
      <w:bookmarkStart w:id="164" w:name="_Toc76443979"/>
      <w:bookmarkStart w:id="165" w:name="_Toc123887119"/>
      <w:r w:rsidR="007A533B" w:rsidRPr="00BA6536">
        <w:instrText>Redevelopable Sites</w:instrText>
      </w:r>
      <w:bookmarkEnd w:id="162"/>
      <w:bookmarkEnd w:id="163"/>
      <w:bookmarkEnd w:id="164"/>
      <w:bookmarkEnd w:id="165"/>
      <w:r w:rsidR="007A533B" w:rsidRPr="00BA6536">
        <w:instrText xml:space="preserve">"\l 3 </w:instrText>
      </w:r>
      <w:r w:rsidR="007A533B" w:rsidRPr="00BA6536">
        <w:fldChar w:fldCharType="end"/>
      </w:r>
    </w:p>
    <w:p w14:paraId="3ECDFDEB" w14:textId="77777777" w:rsidR="007A533B" w:rsidRPr="00BA6536" w:rsidRDefault="007A533B" w:rsidP="007A533B">
      <w:pPr>
        <w:spacing w:after="0" w:line="280" w:lineRule="atLeast"/>
        <w:jc w:val="both"/>
        <w:rPr>
          <w:rFonts w:eastAsia="Times New Roman" w:cs="Times New Roman"/>
        </w:rPr>
      </w:pPr>
      <w:r w:rsidRPr="00BA6536">
        <w:rPr>
          <w:rFonts w:eastAsia="Times New Roman" w:cs="Times New Roman"/>
        </w:rPr>
        <w:t>Mono County has sufficient undeveloped sites available to meet its identified r</w:t>
      </w:r>
      <w:r w:rsidR="00D65ADF" w:rsidRPr="00BA6536">
        <w:rPr>
          <w:rFonts w:eastAsia="Times New Roman" w:cs="Times New Roman"/>
        </w:rPr>
        <w:t xml:space="preserve">egional housing needs. Regardless, particularly in the community of Lee Vining there may be some opportunity to provide additional housing from the redevelopment of existing county and state road maintenance yards that are located centrally within the community.  The exploration of these complex projects is supported by several housing programs. </w:t>
      </w:r>
    </w:p>
    <w:p w14:paraId="7F92F676" w14:textId="77777777" w:rsidR="00D65ADF" w:rsidRPr="00BA6536" w:rsidRDefault="00D65ADF" w:rsidP="007A533B">
      <w:pPr>
        <w:spacing w:after="0" w:line="280" w:lineRule="atLeast"/>
        <w:jc w:val="both"/>
        <w:rPr>
          <w:rFonts w:eastAsia="Times New Roman" w:cs="Times New Roman"/>
        </w:rPr>
      </w:pPr>
    </w:p>
    <w:p w14:paraId="440601C1" w14:textId="77777777" w:rsidR="00D65ADF" w:rsidRPr="00BA6536" w:rsidRDefault="002E1FEA" w:rsidP="003D5E81">
      <w:pPr>
        <w:pStyle w:val="Heading3"/>
      </w:pPr>
      <w:bookmarkStart w:id="166" w:name="_Toc383700026"/>
      <w:r>
        <w:t xml:space="preserve">e. </w:t>
      </w:r>
      <w:r w:rsidR="00D65ADF" w:rsidRPr="00BA6536">
        <w:t>SITES &amp; ZONING THAT FACILITATE HOUSING FOR FARMWORKERS &amp; HOMELESS</w:t>
      </w:r>
      <w:bookmarkEnd w:id="166"/>
      <w:r w:rsidR="00D65ADF" w:rsidRPr="00BA6536">
        <w:fldChar w:fldCharType="begin"/>
      </w:r>
      <w:r w:rsidR="00D65ADF" w:rsidRPr="00BA6536">
        <w:instrText xml:space="preserve"> TC"</w:instrText>
      </w:r>
      <w:bookmarkStart w:id="167" w:name="_Toc53806468"/>
      <w:bookmarkStart w:id="168" w:name="_Toc66156060"/>
      <w:bookmarkStart w:id="169" w:name="_Toc76443980"/>
      <w:bookmarkStart w:id="170" w:name="_Toc123887120"/>
      <w:r w:rsidR="00D65ADF" w:rsidRPr="00BA6536">
        <w:instrText>Sites &amp; Zoning That Facilitate Housing for Farmworkers and Homeless</w:instrText>
      </w:r>
      <w:bookmarkEnd w:id="167"/>
      <w:bookmarkEnd w:id="168"/>
      <w:bookmarkEnd w:id="169"/>
      <w:bookmarkEnd w:id="170"/>
      <w:r w:rsidR="00D65ADF" w:rsidRPr="00BA6536">
        <w:instrText xml:space="preserve">"\l 3 </w:instrText>
      </w:r>
      <w:r w:rsidR="00D65ADF" w:rsidRPr="00BA6536">
        <w:fldChar w:fldCharType="end"/>
      </w:r>
    </w:p>
    <w:p w14:paraId="357E30BD" w14:textId="77777777" w:rsidR="00D65ADF" w:rsidRPr="00BA6536" w:rsidRDefault="00D65ADF" w:rsidP="00D65ADF">
      <w:pPr>
        <w:numPr>
          <w:ilvl w:val="12"/>
          <w:numId w:val="0"/>
        </w:numPr>
        <w:tabs>
          <w:tab w:val="left" w:pos="180"/>
          <w:tab w:val="left" w:pos="360"/>
        </w:tabs>
        <w:spacing w:after="0" w:line="280" w:lineRule="atLeast"/>
        <w:jc w:val="both"/>
        <w:rPr>
          <w:rFonts w:eastAsia="Times New Roman" w:cs="Times New Roman"/>
        </w:rPr>
      </w:pPr>
      <w:r w:rsidRPr="00BA6536">
        <w:rPr>
          <w:rFonts w:eastAsia="Times New Roman" w:cs="Times New Roman"/>
        </w:rPr>
        <w:t>The Agriculture (AG) designation allows farm labor housing without any type of development permit, other than a building permit. The Scenic Area Agriculture (SAA) designation also allows farm labor housing without any type of development permit, other than a building permit, to the extent the development complies with the Mono Basin National Forest Scenic Area Private Property Development Guidelines and with the Compatibility Determinations for Proposed New Commercial Uses and Developments. Compatibility determinations are based upon recommendations of the U.S. Forest Service.</w:t>
      </w:r>
    </w:p>
    <w:p w14:paraId="4520A484" w14:textId="77777777" w:rsidR="00D65ADF" w:rsidRPr="00BA6536" w:rsidRDefault="00D65ADF" w:rsidP="00D65ADF">
      <w:pPr>
        <w:spacing w:after="0" w:line="280" w:lineRule="atLeast"/>
        <w:jc w:val="both"/>
        <w:rPr>
          <w:rFonts w:eastAsia="Times New Roman" w:cs="Times New Roman"/>
        </w:rPr>
      </w:pPr>
    </w:p>
    <w:p w14:paraId="10543E56" w14:textId="77777777"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The SAA designation applies to only four acres within the Mono Basin National Forest Scenic Area. The AG designation applies to 79,156 acres throughout the County, primarily in Antelope Valley, Bridgeport Valley, and Tri-Valley. The minimum parcel size for the AG designation is set at 2.5 acres but actually varies by area. Minimum parcel sizes and densities are established by land use designation maps and policies for the Antelope Valley, Bridgeport Valley, and Tri-Valley. There is a ten-acre minimum in Antelope Valley. Bridgeport Valley and Tri-Valley utilize a transfer of development rights program that allows for more concentrated development in small areas while maintaining large areas in agricultural uses.</w:t>
      </w:r>
    </w:p>
    <w:p w14:paraId="0AE82FAE" w14:textId="77777777" w:rsidR="00D65ADF" w:rsidRPr="00BA6536" w:rsidRDefault="00D65ADF" w:rsidP="00D65ADF">
      <w:pPr>
        <w:spacing w:after="0" w:line="280" w:lineRule="atLeast"/>
        <w:jc w:val="both"/>
        <w:rPr>
          <w:rFonts w:eastAsia="Times New Roman" w:cs="Times New Roman"/>
        </w:rPr>
      </w:pPr>
    </w:p>
    <w:p w14:paraId="0879CFCD" w14:textId="77777777"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There are no specific development standards for farmworker housing; it is subject to the same development standards as other housing. Farmworker housing is not a significant issue in Mono County. There is sufficient appropriately zoned land to provide additional farmworker housing; there is nothing in the Mono County Land Development Regulations that impedes the development of farmworker housing.</w:t>
      </w:r>
    </w:p>
    <w:p w14:paraId="442597AE" w14:textId="77777777" w:rsidR="00D65ADF" w:rsidRPr="00BA6536" w:rsidRDefault="00D65ADF" w:rsidP="00D65ADF">
      <w:pPr>
        <w:spacing w:after="0" w:line="280" w:lineRule="atLeast"/>
        <w:jc w:val="both"/>
        <w:rPr>
          <w:rFonts w:eastAsia="Times New Roman" w:cs="Times New Roman"/>
        </w:rPr>
      </w:pPr>
    </w:p>
    <w:p w14:paraId="7138CE7E" w14:textId="77777777" w:rsidR="00D65ADF" w:rsidRPr="00BA6536" w:rsidRDefault="002E1FEA" w:rsidP="003D5E81">
      <w:pPr>
        <w:pStyle w:val="Heading3"/>
      </w:pPr>
      <w:bookmarkStart w:id="171" w:name="_Toc383700027"/>
      <w:r>
        <w:t xml:space="preserve">f. </w:t>
      </w:r>
      <w:r w:rsidR="00D65ADF" w:rsidRPr="00BA6536">
        <w:t>SITES INVENTORY AND ANALYSIS</w:t>
      </w:r>
      <w:bookmarkEnd w:id="171"/>
      <w:r w:rsidR="00D65ADF" w:rsidRPr="00BA6536">
        <w:fldChar w:fldCharType="begin"/>
      </w:r>
      <w:r w:rsidR="00D65ADF" w:rsidRPr="00BA6536">
        <w:instrText xml:space="preserve"> TC"</w:instrText>
      </w:r>
      <w:bookmarkStart w:id="172" w:name="_Toc123887121"/>
      <w:r w:rsidR="00D65ADF" w:rsidRPr="00BA6536">
        <w:instrText>Sites Inventory and Analysis</w:instrText>
      </w:r>
      <w:bookmarkEnd w:id="172"/>
      <w:r w:rsidR="00D65ADF" w:rsidRPr="00BA6536">
        <w:instrText xml:space="preserve">"\l 3 </w:instrText>
      </w:r>
      <w:r w:rsidR="00D65ADF" w:rsidRPr="00BA6536">
        <w:fldChar w:fldCharType="end"/>
      </w:r>
    </w:p>
    <w:p w14:paraId="2B56A146" w14:textId="77777777"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The County’s share of the regional housing need for the planning period is a total of 46 housing units, allocated to specific income groups as follows:</w:t>
      </w:r>
    </w:p>
    <w:p w14:paraId="3575CAAE" w14:textId="77777777" w:rsidR="00D65ADF" w:rsidRPr="00BA6536" w:rsidRDefault="00D65ADF" w:rsidP="00D65ADF">
      <w:pPr>
        <w:spacing w:after="0" w:line="280" w:lineRule="atLeast"/>
        <w:jc w:val="both"/>
        <w:rPr>
          <w:rFonts w:eastAsia="Times New Roman" w:cs="Times New Roman"/>
        </w:rPr>
      </w:pPr>
    </w:p>
    <w:p w14:paraId="02ED3D4C" w14:textId="77777777" w:rsidR="00D65ADF" w:rsidRPr="00BA6536" w:rsidRDefault="00D65ADF" w:rsidP="00D65ADF">
      <w:pPr>
        <w:tabs>
          <w:tab w:val="left" w:pos="3600"/>
          <w:tab w:val="left" w:pos="3960"/>
        </w:tabs>
        <w:spacing w:after="0" w:line="280" w:lineRule="atLeast"/>
        <w:ind w:left="360"/>
        <w:jc w:val="both"/>
        <w:rPr>
          <w:rFonts w:eastAsia="Times New Roman" w:cs="Times New Roman"/>
        </w:rPr>
      </w:pPr>
      <w:r w:rsidRPr="00BA6536">
        <w:rPr>
          <w:rFonts w:eastAsia="Times New Roman" w:cs="Times New Roman"/>
        </w:rPr>
        <w:t>Extremely Low Income Units</w:t>
      </w:r>
      <w:r w:rsidRPr="00BA6536">
        <w:rPr>
          <w:rFonts w:eastAsia="Times New Roman" w:cs="Times New Roman"/>
        </w:rPr>
        <w:tab/>
        <w:t>=</w:t>
      </w:r>
      <w:r w:rsidRPr="00BA6536">
        <w:rPr>
          <w:rFonts w:eastAsia="Times New Roman" w:cs="Times New Roman"/>
        </w:rPr>
        <w:tab/>
        <w:t>5 units</w:t>
      </w:r>
    </w:p>
    <w:p w14:paraId="6255360B" w14:textId="77777777" w:rsidR="00D65ADF" w:rsidRPr="00BA6536" w:rsidRDefault="00D65ADF" w:rsidP="00D65ADF">
      <w:pPr>
        <w:tabs>
          <w:tab w:val="left" w:pos="3600"/>
          <w:tab w:val="left" w:pos="3960"/>
        </w:tabs>
        <w:spacing w:after="0" w:line="280" w:lineRule="atLeast"/>
        <w:ind w:left="360"/>
        <w:jc w:val="both"/>
        <w:rPr>
          <w:rFonts w:eastAsia="Times New Roman" w:cs="Times New Roman"/>
        </w:rPr>
      </w:pPr>
      <w:r w:rsidRPr="00BA6536">
        <w:rPr>
          <w:rFonts w:eastAsia="Times New Roman" w:cs="Times New Roman"/>
        </w:rPr>
        <w:t>Very Low Income Units</w:t>
      </w:r>
      <w:r w:rsidRPr="00BA6536">
        <w:rPr>
          <w:rFonts w:eastAsia="Times New Roman" w:cs="Times New Roman"/>
        </w:rPr>
        <w:tab/>
        <w:t xml:space="preserve">= </w:t>
      </w:r>
      <w:r w:rsidRPr="00BA6536">
        <w:rPr>
          <w:rFonts w:eastAsia="Times New Roman" w:cs="Times New Roman"/>
        </w:rPr>
        <w:tab/>
        <w:t>6 units</w:t>
      </w:r>
    </w:p>
    <w:p w14:paraId="7A072EFE" w14:textId="77777777" w:rsidR="00D65ADF" w:rsidRPr="00BA6536" w:rsidRDefault="00D65ADF" w:rsidP="00D65ADF">
      <w:pPr>
        <w:tabs>
          <w:tab w:val="left" w:pos="3600"/>
          <w:tab w:val="left" w:pos="3960"/>
        </w:tabs>
        <w:spacing w:after="0" w:line="280" w:lineRule="atLeast"/>
        <w:ind w:left="360"/>
        <w:jc w:val="both"/>
        <w:rPr>
          <w:rFonts w:eastAsia="Times New Roman" w:cs="Times New Roman"/>
        </w:rPr>
      </w:pPr>
      <w:r w:rsidRPr="00BA6536">
        <w:rPr>
          <w:rFonts w:eastAsia="Times New Roman" w:cs="Times New Roman"/>
        </w:rPr>
        <w:t>Low Income Units</w:t>
      </w:r>
      <w:r w:rsidRPr="00BA6536">
        <w:rPr>
          <w:rFonts w:eastAsia="Times New Roman" w:cs="Times New Roman"/>
        </w:rPr>
        <w:tab/>
        <w:t xml:space="preserve">= </w:t>
      </w:r>
      <w:r w:rsidRPr="00BA6536">
        <w:rPr>
          <w:rFonts w:eastAsia="Times New Roman" w:cs="Times New Roman"/>
        </w:rPr>
        <w:tab/>
        <w:t>7 units</w:t>
      </w:r>
    </w:p>
    <w:p w14:paraId="00A2C5CE" w14:textId="77777777" w:rsidR="00D65ADF" w:rsidRPr="00BA6536" w:rsidRDefault="00D65ADF" w:rsidP="00D65ADF">
      <w:pPr>
        <w:tabs>
          <w:tab w:val="left" w:pos="3600"/>
          <w:tab w:val="left" w:pos="3960"/>
        </w:tabs>
        <w:spacing w:after="0" w:line="280" w:lineRule="atLeast"/>
        <w:ind w:left="360"/>
        <w:jc w:val="both"/>
        <w:rPr>
          <w:rFonts w:eastAsia="Times New Roman" w:cs="Times New Roman"/>
        </w:rPr>
      </w:pPr>
      <w:r w:rsidRPr="00BA6536">
        <w:rPr>
          <w:rFonts w:eastAsia="Times New Roman" w:cs="Times New Roman"/>
        </w:rPr>
        <w:t>Moderate Income Units</w:t>
      </w:r>
      <w:r w:rsidRPr="00BA6536">
        <w:rPr>
          <w:rFonts w:eastAsia="Times New Roman" w:cs="Times New Roman"/>
        </w:rPr>
        <w:tab/>
        <w:t xml:space="preserve">= </w:t>
      </w:r>
      <w:r w:rsidRPr="00BA6536">
        <w:rPr>
          <w:rFonts w:eastAsia="Times New Roman" w:cs="Times New Roman"/>
        </w:rPr>
        <w:tab/>
        <w:t>9 units</w:t>
      </w:r>
    </w:p>
    <w:p w14:paraId="7F8B294D" w14:textId="77777777" w:rsidR="00D65ADF" w:rsidRPr="00BA6536" w:rsidRDefault="00D65ADF" w:rsidP="00D65ADF">
      <w:pPr>
        <w:tabs>
          <w:tab w:val="left" w:pos="3600"/>
          <w:tab w:val="left" w:pos="3960"/>
        </w:tabs>
        <w:spacing w:after="0" w:line="280" w:lineRule="atLeast"/>
        <w:ind w:left="360"/>
        <w:jc w:val="both"/>
        <w:rPr>
          <w:rFonts w:eastAsia="Times New Roman" w:cs="Times New Roman"/>
        </w:rPr>
      </w:pPr>
      <w:r w:rsidRPr="00BA6536">
        <w:rPr>
          <w:rFonts w:eastAsia="Times New Roman" w:cs="Times New Roman"/>
        </w:rPr>
        <w:t>Above Moderate Income Units</w:t>
      </w:r>
      <w:r w:rsidRPr="00BA6536">
        <w:rPr>
          <w:rFonts w:eastAsia="Times New Roman" w:cs="Times New Roman"/>
        </w:rPr>
        <w:tab/>
        <w:t xml:space="preserve">= </w:t>
      </w:r>
      <w:r w:rsidRPr="00BA6536">
        <w:rPr>
          <w:rFonts w:eastAsia="Times New Roman" w:cs="Times New Roman"/>
        </w:rPr>
        <w:tab/>
        <w:t>19 units</w:t>
      </w:r>
    </w:p>
    <w:p w14:paraId="18BC7B64" w14:textId="77777777" w:rsidR="00D65ADF" w:rsidRPr="00BA6536" w:rsidRDefault="00D65ADF" w:rsidP="00D65ADF">
      <w:pPr>
        <w:spacing w:after="0" w:line="280" w:lineRule="atLeast"/>
        <w:jc w:val="both"/>
        <w:rPr>
          <w:rFonts w:eastAsia="Times New Roman" w:cs="Times New Roman"/>
        </w:rPr>
      </w:pPr>
    </w:p>
    <w:p w14:paraId="11D6797B" w14:textId="77777777" w:rsidR="00D65ADF" w:rsidRPr="00BA6536" w:rsidRDefault="00D65ADF" w:rsidP="00D65ADF">
      <w:pPr>
        <w:widowControl w:val="0"/>
        <w:autoSpaceDE w:val="0"/>
        <w:autoSpaceDN w:val="0"/>
        <w:adjustRightInd w:val="0"/>
        <w:spacing w:after="0" w:line="280" w:lineRule="atLeast"/>
        <w:jc w:val="both"/>
        <w:rPr>
          <w:rFonts w:eastAsia="Times New Roman" w:cs="Arial"/>
          <w:lang w:bidi="en-US"/>
        </w:rPr>
      </w:pPr>
      <w:r w:rsidRPr="00BA6536">
        <w:rPr>
          <w:rFonts w:eastAsia="Times New Roman" w:cs="Arial"/>
          <w:lang w:bidi="en-US"/>
        </w:rPr>
        <w:t xml:space="preserve">Government Code Sections 65583 and 65583.2 require a parcel-specific inventory of appropriately zoned, available, and suitable sites that can provide realistic opportunities for the provision of housing to all income segments within the community.  </w:t>
      </w:r>
    </w:p>
    <w:p w14:paraId="6BFF2877" w14:textId="77777777" w:rsidR="00D65ADF" w:rsidRPr="00BA6536" w:rsidRDefault="00D65ADF" w:rsidP="00D65ADF">
      <w:pPr>
        <w:widowControl w:val="0"/>
        <w:autoSpaceDE w:val="0"/>
        <w:autoSpaceDN w:val="0"/>
        <w:adjustRightInd w:val="0"/>
        <w:spacing w:after="0" w:line="280" w:lineRule="atLeast"/>
        <w:jc w:val="both"/>
        <w:rPr>
          <w:rFonts w:eastAsia="Times New Roman" w:cs="Arial"/>
          <w:lang w:bidi="en-US"/>
        </w:rPr>
      </w:pPr>
    </w:p>
    <w:p w14:paraId="36C053B1" w14:textId="77777777" w:rsidR="00D65ADF" w:rsidRPr="00BA6536" w:rsidRDefault="00D65ADF" w:rsidP="00D65ADF">
      <w:pPr>
        <w:widowControl w:val="0"/>
        <w:autoSpaceDE w:val="0"/>
        <w:autoSpaceDN w:val="0"/>
        <w:adjustRightInd w:val="0"/>
        <w:spacing w:after="0" w:line="280" w:lineRule="atLeast"/>
        <w:jc w:val="both"/>
        <w:rPr>
          <w:rFonts w:eastAsia="Times New Roman" w:cs="Arial"/>
          <w:lang w:bidi="en-US"/>
        </w:rPr>
      </w:pPr>
      <w:r w:rsidRPr="00BA6536">
        <w:rPr>
          <w:rFonts w:eastAsia="Times New Roman" w:cs="Arial"/>
          <w:lang w:bidi="en-US"/>
        </w:rPr>
        <w:t xml:space="preserve">Although the County’s regional housing need is in the process of being met through a variety of ongoing development (units built since the beginning of the Regional Housing Needs Allocation period, second units, available and appropriately zoned land), to ensure that there are adequate sites in the unincorporated area of the county to meet the identified housing needs, the sites inventory identifies vacant sites that are appropriately zoned </w:t>
      </w:r>
      <w:r w:rsidR="002B4CDA" w:rsidRPr="00BA6536">
        <w:rPr>
          <w:rFonts w:eastAsia="Times New Roman" w:cs="Arial"/>
          <w:lang w:bidi="en-US"/>
        </w:rPr>
        <w:t>to allow for multi-family</w:t>
      </w:r>
      <w:r w:rsidRPr="00BA6536">
        <w:rPr>
          <w:rFonts w:eastAsia="Times New Roman" w:cs="Arial"/>
          <w:lang w:bidi="en-US"/>
        </w:rPr>
        <w:t xml:space="preserve"> residential development, that have the available infrastructure, and that are without site constraints.</w:t>
      </w:r>
      <w:r w:rsidR="002B4CDA" w:rsidRPr="00BA6536">
        <w:rPr>
          <w:rFonts w:eastAsia="Times New Roman" w:cs="Arial"/>
          <w:lang w:bidi="en-US"/>
        </w:rPr>
        <w:t xml:space="preserve">  The following tables indicate total assumed build-out of each vacant parcel</w:t>
      </w:r>
      <w:r w:rsidR="001C6E1E" w:rsidRPr="00BA6536">
        <w:rPr>
          <w:rFonts w:eastAsia="Times New Roman" w:cs="Arial"/>
          <w:lang w:bidi="en-US"/>
        </w:rPr>
        <w:t xml:space="preserve"> with land use designation MFR, C &amp; MU</w:t>
      </w:r>
      <w:r w:rsidR="002B4CDA" w:rsidRPr="00BA6536">
        <w:rPr>
          <w:rFonts w:eastAsia="Times New Roman" w:cs="Arial"/>
          <w:lang w:bidi="en-US"/>
        </w:rPr>
        <w:t xml:space="preserve">.  </w:t>
      </w:r>
      <w:r w:rsidR="001C6E1E" w:rsidRPr="00BA6536">
        <w:rPr>
          <w:rFonts w:eastAsia="Times New Roman" w:cs="Arial"/>
          <w:lang w:bidi="en-US"/>
        </w:rPr>
        <w:t>The maps included in this analysis indicate all parcels in the communities with the Land Use Designations of MFR, C  and parcel</w:t>
      </w:r>
      <w:r w:rsidR="00A84E30" w:rsidRPr="00BA6536">
        <w:rPr>
          <w:rFonts w:eastAsia="Times New Roman" w:cs="Arial"/>
          <w:lang w:bidi="en-US"/>
        </w:rPr>
        <w:t xml:space="preserve">s </w:t>
      </w:r>
      <w:r w:rsidR="001C6E1E" w:rsidRPr="00BA6536">
        <w:rPr>
          <w:rFonts w:eastAsia="Times New Roman" w:cs="Arial"/>
          <w:lang w:bidi="en-US"/>
        </w:rPr>
        <w:t>with the designation of SP likely to include affordable housing as Specific Plans are developed.</w:t>
      </w:r>
      <w:r w:rsidR="00A84E30" w:rsidRPr="00BA6536">
        <w:rPr>
          <w:rFonts w:eastAsia="Times New Roman" w:cs="Arial"/>
          <w:lang w:bidi="en-US"/>
        </w:rPr>
        <w:t xml:space="preserve">  The most recent planning effort at the SP designated parcel in June Lake indicated on the map included the development of</w:t>
      </w:r>
      <w:r w:rsidR="003D576A" w:rsidRPr="00BA6536">
        <w:rPr>
          <w:rFonts w:eastAsia="Times New Roman" w:cs="Arial"/>
          <w:lang w:bidi="en-US"/>
        </w:rPr>
        <w:t xml:space="preserve"> approximately </w:t>
      </w:r>
      <w:r w:rsidR="00A84E30" w:rsidRPr="00BA6536">
        <w:rPr>
          <w:rFonts w:eastAsia="Times New Roman" w:cs="Arial"/>
          <w:lang w:bidi="en-US"/>
        </w:rPr>
        <w:t xml:space="preserve"> </w:t>
      </w:r>
      <w:r w:rsidR="00B75149" w:rsidRPr="00BA6536">
        <w:rPr>
          <w:rFonts w:eastAsia="Times New Roman" w:cs="Arial"/>
          <w:lang w:bidi="en-US"/>
        </w:rPr>
        <w:t>65</w:t>
      </w:r>
      <w:r w:rsidR="00A84E30" w:rsidRPr="00BA6536">
        <w:rPr>
          <w:rFonts w:eastAsia="Times New Roman" w:cs="Arial"/>
          <w:lang w:bidi="en-US"/>
        </w:rPr>
        <w:t xml:space="preserve"> affordable housing units, the most recent planning effort </w:t>
      </w:r>
      <w:r w:rsidR="003D576A" w:rsidRPr="00BA6536">
        <w:rPr>
          <w:rFonts w:eastAsia="Times New Roman" w:cs="Arial"/>
          <w:lang w:bidi="en-US"/>
        </w:rPr>
        <w:t>for</w:t>
      </w:r>
      <w:r w:rsidR="00A84E30" w:rsidRPr="00BA6536">
        <w:rPr>
          <w:rFonts w:eastAsia="Times New Roman" w:cs="Arial"/>
          <w:lang w:bidi="en-US"/>
        </w:rPr>
        <w:t xml:space="preserve"> the parcels indicated on the </w:t>
      </w:r>
      <w:r w:rsidR="00B75149" w:rsidRPr="00BA6536">
        <w:rPr>
          <w:rFonts w:eastAsia="Times New Roman" w:cs="Arial"/>
          <w:lang w:bidi="en-US"/>
        </w:rPr>
        <w:t>Countywide</w:t>
      </w:r>
      <w:r w:rsidR="00A84E30" w:rsidRPr="00BA6536">
        <w:rPr>
          <w:rFonts w:eastAsia="Times New Roman" w:cs="Arial"/>
          <w:lang w:bidi="en-US"/>
        </w:rPr>
        <w:t xml:space="preserve"> map</w:t>
      </w:r>
      <w:r w:rsidR="003D576A" w:rsidRPr="00BA6536">
        <w:rPr>
          <w:rFonts w:eastAsia="Times New Roman" w:cs="Arial"/>
          <w:lang w:bidi="en-US"/>
        </w:rPr>
        <w:t xml:space="preserve"> </w:t>
      </w:r>
      <w:r w:rsidR="00B75149" w:rsidRPr="00BA6536">
        <w:rPr>
          <w:rFonts w:eastAsia="Times New Roman" w:cs="Arial"/>
          <w:lang w:bidi="en-US"/>
        </w:rPr>
        <w:t xml:space="preserve">near the community of Lee Vining </w:t>
      </w:r>
      <w:r w:rsidR="003D576A" w:rsidRPr="00BA6536">
        <w:rPr>
          <w:rFonts w:eastAsia="Times New Roman" w:cs="Arial"/>
          <w:lang w:bidi="en-US"/>
        </w:rPr>
        <w:t xml:space="preserve">included the development of approximately </w:t>
      </w:r>
      <w:r w:rsidR="00B75149" w:rsidRPr="00BA6536">
        <w:rPr>
          <w:rFonts w:eastAsia="Times New Roman" w:cs="Arial"/>
          <w:lang w:bidi="en-US"/>
        </w:rPr>
        <w:t xml:space="preserve">30 </w:t>
      </w:r>
      <w:r w:rsidR="003D576A" w:rsidRPr="00BA6536">
        <w:rPr>
          <w:rFonts w:eastAsia="Times New Roman" w:cs="Arial"/>
          <w:lang w:bidi="en-US"/>
        </w:rPr>
        <w:t>affordable housing units</w:t>
      </w:r>
      <w:r w:rsidR="00A84E30" w:rsidRPr="00BA6536">
        <w:rPr>
          <w:rFonts w:eastAsia="Times New Roman" w:cs="Arial"/>
          <w:lang w:bidi="en-US"/>
        </w:rPr>
        <w:t xml:space="preserve">. </w:t>
      </w:r>
      <w:r w:rsidR="001C6E1E" w:rsidRPr="00BA6536">
        <w:rPr>
          <w:rFonts w:eastAsia="Times New Roman" w:cs="Arial"/>
          <w:lang w:bidi="en-US"/>
        </w:rPr>
        <w:t xml:space="preserve">  </w:t>
      </w:r>
      <w:r w:rsidR="002B4CDA" w:rsidRPr="00BA6536">
        <w:rPr>
          <w:rFonts w:eastAsia="Times New Roman" w:cs="Arial"/>
          <w:lang w:bidi="en-US"/>
        </w:rPr>
        <w:t xml:space="preserve">Many underutilized parcels also exist, however an analysis </w:t>
      </w:r>
      <w:r w:rsidR="001C6E1E" w:rsidRPr="00BA6536">
        <w:rPr>
          <w:rFonts w:eastAsia="Times New Roman" w:cs="Arial"/>
          <w:lang w:bidi="en-US"/>
        </w:rPr>
        <w:t>of these parcels wa</w:t>
      </w:r>
      <w:r w:rsidR="00B87958" w:rsidRPr="00BA6536">
        <w:rPr>
          <w:rFonts w:eastAsia="Times New Roman" w:cs="Arial"/>
          <w:lang w:bidi="en-US"/>
        </w:rPr>
        <w:t>s determined to be unnecessary as the vacant sites provide more than adequate capacity.</w:t>
      </w:r>
    </w:p>
    <w:p w14:paraId="0B578DE3" w14:textId="77777777" w:rsidR="00D65ADF" w:rsidRPr="00BA6536" w:rsidRDefault="00D65ADF" w:rsidP="00D65ADF">
      <w:pPr>
        <w:widowControl w:val="0"/>
        <w:autoSpaceDE w:val="0"/>
        <w:autoSpaceDN w:val="0"/>
        <w:adjustRightInd w:val="0"/>
        <w:spacing w:after="0" w:line="280" w:lineRule="atLeast"/>
        <w:jc w:val="both"/>
        <w:rPr>
          <w:rFonts w:eastAsia="Times New Roman" w:cs="Arial"/>
          <w:lang w:bidi="en-US"/>
        </w:rPr>
      </w:pPr>
    </w:p>
    <w:tbl>
      <w:tblPr>
        <w:tblW w:w="9124" w:type="dxa"/>
        <w:tblLook w:val="04A0" w:firstRow="1" w:lastRow="0" w:firstColumn="1" w:lastColumn="0" w:noHBand="0" w:noVBand="1"/>
      </w:tblPr>
      <w:tblGrid>
        <w:gridCol w:w="2940"/>
        <w:gridCol w:w="16"/>
        <w:gridCol w:w="2404"/>
        <w:gridCol w:w="32"/>
        <w:gridCol w:w="1828"/>
        <w:gridCol w:w="48"/>
        <w:gridCol w:w="1792"/>
        <w:gridCol w:w="64"/>
      </w:tblGrid>
      <w:tr w:rsidR="00742BE3" w:rsidRPr="00BA6536" w14:paraId="170E06EA" w14:textId="77777777" w:rsidTr="00742BE3">
        <w:trPr>
          <w:gridAfter w:val="1"/>
          <w:wAfter w:w="64" w:type="dxa"/>
          <w:trHeight w:val="300"/>
        </w:trPr>
        <w:tc>
          <w:tcPr>
            <w:tcW w:w="2940" w:type="dxa"/>
            <w:tcBorders>
              <w:top w:val="nil"/>
              <w:left w:val="nil"/>
              <w:bottom w:val="nil"/>
              <w:right w:val="nil"/>
            </w:tcBorders>
            <w:shd w:val="clear" w:color="auto" w:fill="auto"/>
            <w:noWrap/>
            <w:vAlign w:val="bottom"/>
            <w:hideMark/>
          </w:tcPr>
          <w:p w14:paraId="38EAF61D" w14:textId="77777777" w:rsidR="00742BE3" w:rsidRPr="00BA6536" w:rsidRDefault="00742BE3" w:rsidP="00742BE3">
            <w:pPr>
              <w:spacing w:after="0" w:line="240" w:lineRule="auto"/>
              <w:rPr>
                <w:rFonts w:ascii="Calibri" w:eastAsia="Times New Roman" w:hAnsi="Calibri" w:cs="Times New Roman"/>
              </w:rPr>
            </w:pPr>
            <w:r w:rsidRPr="00BA6536">
              <w:rPr>
                <w:rFonts w:ascii="Calibri" w:eastAsia="Times New Roman" w:hAnsi="Calibri" w:cs="Times New Roman"/>
              </w:rPr>
              <w:t>Table 27 Bridgeport</w:t>
            </w:r>
          </w:p>
        </w:tc>
        <w:tc>
          <w:tcPr>
            <w:tcW w:w="2420" w:type="dxa"/>
            <w:gridSpan w:val="2"/>
            <w:tcBorders>
              <w:top w:val="nil"/>
              <w:left w:val="nil"/>
              <w:bottom w:val="nil"/>
              <w:right w:val="nil"/>
            </w:tcBorders>
            <w:shd w:val="clear" w:color="auto" w:fill="auto"/>
            <w:noWrap/>
            <w:vAlign w:val="bottom"/>
            <w:hideMark/>
          </w:tcPr>
          <w:p w14:paraId="28F0764D" w14:textId="77777777" w:rsidR="00742BE3" w:rsidRPr="00BA6536" w:rsidRDefault="00742BE3" w:rsidP="00742BE3">
            <w:pPr>
              <w:spacing w:after="0" w:line="240" w:lineRule="auto"/>
              <w:rPr>
                <w:rFonts w:ascii="Calibri" w:eastAsia="Times New Roman" w:hAnsi="Calibri" w:cs="Times New Roman"/>
              </w:rPr>
            </w:pPr>
          </w:p>
        </w:tc>
        <w:tc>
          <w:tcPr>
            <w:tcW w:w="1860" w:type="dxa"/>
            <w:gridSpan w:val="2"/>
            <w:tcBorders>
              <w:top w:val="nil"/>
              <w:left w:val="nil"/>
              <w:bottom w:val="nil"/>
              <w:right w:val="nil"/>
            </w:tcBorders>
            <w:shd w:val="clear" w:color="auto" w:fill="auto"/>
            <w:noWrap/>
            <w:vAlign w:val="bottom"/>
            <w:hideMark/>
          </w:tcPr>
          <w:p w14:paraId="2BF7318E" w14:textId="77777777" w:rsidR="00742BE3" w:rsidRPr="00BA6536" w:rsidRDefault="00742BE3" w:rsidP="00742BE3">
            <w:pPr>
              <w:spacing w:after="0" w:line="240" w:lineRule="auto"/>
              <w:jc w:val="center"/>
              <w:rPr>
                <w:rFonts w:ascii="Times New Roman" w:eastAsia="Times New Roman" w:hAnsi="Times New Roman" w:cs="Times New Roman"/>
                <w:sz w:val="20"/>
                <w:szCs w:val="20"/>
              </w:rPr>
            </w:pPr>
          </w:p>
        </w:tc>
        <w:tc>
          <w:tcPr>
            <w:tcW w:w="1840" w:type="dxa"/>
            <w:gridSpan w:val="2"/>
            <w:tcBorders>
              <w:top w:val="nil"/>
              <w:left w:val="nil"/>
              <w:bottom w:val="nil"/>
              <w:right w:val="nil"/>
            </w:tcBorders>
            <w:shd w:val="clear" w:color="auto" w:fill="auto"/>
            <w:noWrap/>
            <w:vAlign w:val="bottom"/>
            <w:hideMark/>
          </w:tcPr>
          <w:p w14:paraId="4534D64C" w14:textId="77777777" w:rsidR="00742BE3" w:rsidRPr="00BA6536" w:rsidRDefault="00742BE3" w:rsidP="00742BE3">
            <w:pPr>
              <w:spacing w:after="0" w:line="240" w:lineRule="auto"/>
              <w:jc w:val="center"/>
              <w:rPr>
                <w:rFonts w:ascii="Times New Roman" w:eastAsia="Times New Roman" w:hAnsi="Times New Roman" w:cs="Times New Roman"/>
                <w:sz w:val="20"/>
                <w:szCs w:val="20"/>
              </w:rPr>
            </w:pPr>
          </w:p>
        </w:tc>
      </w:tr>
      <w:tr w:rsidR="00742BE3" w:rsidRPr="00BA6536" w14:paraId="5A3E2F27" w14:textId="77777777" w:rsidTr="00742BE3">
        <w:trPr>
          <w:gridAfter w:val="1"/>
          <w:wAfter w:w="64" w:type="dxa"/>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C08A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Parcel APN</w:t>
            </w:r>
          </w:p>
        </w:tc>
        <w:tc>
          <w:tcPr>
            <w:tcW w:w="24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552A7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LUD</w:t>
            </w:r>
          </w:p>
        </w:tc>
        <w:tc>
          <w:tcPr>
            <w:tcW w:w="18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49EBD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Acres</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EA940A" w14:textId="77777777" w:rsidR="00742BE3" w:rsidRPr="00BA6536" w:rsidRDefault="00B87958"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 xml:space="preserve">Realistic </w:t>
            </w:r>
            <w:r w:rsidR="00742BE3" w:rsidRPr="00BA6536">
              <w:rPr>
                <w:rFonts w:ascii="Calibri" w:eastAsia="Times New Roman" w:hAnsi="Calibri" w:cs="Times New Roman"/>
              </w:rPr>
              <w:t>Units @ Build Out</w:t>
            </w:r>
          </w:p>
        </w:tc>
      </w:tr>
      <w:tr w:rsidR="00742BE3" w:rsidRPr="00BA6536" w14:paraId="0CA69F51"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EA3DE2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8091007000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F8F83F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0FC5B0B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0.61</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E18E8C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7</w:t>
            </w:r>
          </w:p>
        </w:tc>
      </w:tr>
      <w:tr w:rsidR="00742BE3" w:rsidRPr="00BA6536" w14:paraId="0A678049"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F3AA06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8091034000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729195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EBDEAC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6E5D6A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3D0BCCC1"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FB120E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8091039000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948E49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C771D9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0B64F4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08FDA7B4"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8BAD4E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11040044000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286F5D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0E91207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4.67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097C21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70</w:t>
            </w:r>
          </w:p>
        </w:tc>
      </w:tr>
      <w:tr w:rsidR="00742BE3" w:rsidRPr="00BA6536" w14:paraId="5B40CA5F"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617527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11301003000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7C3BAA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ADBA80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0.55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7CAD45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w:t>
            </w:r>
          </w:p>
        </w:tc>
      </w:tr>
      <w:tr w:rsidR="00742BE3" w:rsidRPr="00BA6536" w14:paraId="08E889EC"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FA0844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11301004000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2BFEF1C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6E8F422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0.55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8E9B59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w:t>
            </w:r>
          </w:p>
        </w:tc>
      </w:tr>
      <w:tr w:rsidR="00742BE3" w:rsidRPr="00BA6536" w14:paraId="2E36E21F"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BFFE65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11030007000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333AB7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704689C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10.30</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D1FF64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154</w:t>
            </w:r>
          </w:p>
        </w:tc>
      </w:tr>
      <w:tr w:rsidR="00742BE3" w:rsidRPr="00BA6536" w14:paraId="544CB346"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A8D962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11291006000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74C7312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18B5D28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0.83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25B515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12</w:t>
            </w:r>
          </w:p>
        </w:tc>
      </w:tr>
      <w:tr w:rsidR="00742BE3" w:rsidRPr="00BA6536" w14:paraId="1974E024"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D866C8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8132011000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8FD762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EAB194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4F5817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14:paraId="1B8C16B3"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3C78F1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8141011000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9C9EA5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222F8B7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505D36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4621ED1C"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84F834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8132038000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D6D1C9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6DEF34E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CCD96E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612CD80E"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E922DE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8133034000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68F8C65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2ADF0C3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1.03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9E494C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w:t>
            </w:r>
          </w:p>
        </w:tc>
      </w:tr>
      <w:tr w:rsidR="00742BE3" w:rsidRPr="00BA6536" w14:paraId="11013BB8"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06986A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8102011000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B5F67E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5622858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568654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19F73432"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75CB1C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8093031000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A1DC28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22BD037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83AFC8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41C6B04B"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B9A118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8211008000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209EED5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0C04DEA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1DE8CA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1A942B64"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E660DF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8211001000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2C331CC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FE3693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249216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5</w:t>
            </w:r>
          </w:p>
        </w:tc>
      </w:tr>
      <w:tr w:rsidR="00742BE3" w:rsidRPr="00BA6536" w14:paraId="77B3B000"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151582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8220032000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68B0565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MFR-M</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FED36F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A61DEF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3A9546E4"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373DD0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8213014000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EF2EDB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5897859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0.31</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7EBC29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14:paraId="3E25EA29"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BCD747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8091024000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63F9D8B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02FAC18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8DE95C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3D9B4BDD"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F950E1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8091032000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2449A6F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8968D0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0.19</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2ACE35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56BBAB58"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9BA386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8091043000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8128D1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0ABBF57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0.31</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7C39F1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5C6CD135"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8A9355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8091041000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E6F694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63267E3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6C4F16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2B893A11"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5A2B63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8213010000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5E35659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188787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B81BF0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6E746061"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A857A9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8070035000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7DBBBEB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2690CC4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BFA5AA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2302535E"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1A24D6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8091035000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A80D62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BA4F05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1A5DC5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7348EC7A"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B44F04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11301002000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EC19C7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49B890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0.55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DE55DB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w:t>
            </w:r>
          </w:p>
        </w:tc>
      </w:tr>
      <w:tr w:rsidR="00742BE3" w:rsidRPr="00BA6536" w14:paraId="7C8824A0"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FA4EA9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11301005000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4C8C72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258DC9C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0.55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B8305F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w:t>
            </w:r>
          </w:p>
        </w:tc>
      </w:tr>
      <w:tr w:rsidR="00742BE3" w:rsidRPr="00BA6536" w14:paraId="1D39F39E"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DF1F6C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8133032000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1695E6E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0FC6CF0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0.66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9012D7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7</w:t>
            </w:r>
          </w:p>
        </w:tc>
      </w:tr>
      <w:tr w:rsidR="00742BE3" w:rsidRPr="00BA6536" w14:paraId="63314C35"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343AF8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8133039000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66B140D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911EC9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0.48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FAE77A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5</w:t>
            </w:r>
          </w:p>
        </w:tc>
      </w:tr>
      <w:tr w:rsidR="00742BE3" w:rsidRPr="00BA6536" w14:paraId="50A89CE9"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54587E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8133027000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77BDCC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5D062D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0.84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66C37E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9</w:t>
            </w:r>
          </w:p>
        </w:tc>
      </w:tr>
      <w:tr w:rsidR="00742BE3" w:rsidRPr="00BA6536" w14:paraId="06962D85"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F987F3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8141008000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8565D3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443E6C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0.21</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BF8E5D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5FE4A78B"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A5CF49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8142008000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6B1F7A2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19E005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57FB8E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1A4C86A6"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1FC597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8133028000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2901C9A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4A2032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660CAB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204A9C9F"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4D6577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8134015000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2DE521F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A54654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2BF4F1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6E8508B9"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967431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8134009000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986E16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0682819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7B24EC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5CA632BC"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0AC98A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8142024000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7868BA1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64B827D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7DDA24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39436CB5"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EF54D0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8132037000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539A0E7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5829D92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0.19</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87C728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7896ED59"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AAE1B4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8142020000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459E74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780AA99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0.20</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C19106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2A91A7EF"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11C566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8092003000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72CB7C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1992B31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0.67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BEC7D5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9</w:t>
            </w:r>
          </w:p>
        </w:tc>
      </w:tr>
      <w:tr w:rsidR="00742BE3" w:rsidRPr="00BA6536" w14:paraId="313C8F4F"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0E4452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8102015000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03EC8E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3AD516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0.09</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B18CB4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7A910B3E"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B529C0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8131012000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2B3943B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EE8794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0.45</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782A8C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6</w:t>
            </w:r>
          </w:p>
        </w:tc>
      </w:tr>
      <w:tr w:rsidR="00742BE3" w:rsidRPr="00BA6536" w14:paraId="7343995C"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969318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8102013000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39DC00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15DC273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9D9CAB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0FCAD6E3"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35F636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8102014000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7D75E99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2F8F516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0.09</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8318BB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22380D56"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3A2744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8092007000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A54331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B37FA8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D91ECD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34B070E5"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B64612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8093026000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4F0D96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16D05CD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287897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0BF0703A"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FE7C78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8092008000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29DF353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7308E2B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6EF0DC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2F693BA3"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20E07E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8211010000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0F51466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3C06234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0.29</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284101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14:paraId="761E608F"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3219F6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8213012000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6BEDEFD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2215E8E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0.73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D941CB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10</w:t>
            </w:r>
          </w:p>
        </w:tc>
      </w:tr>
      <w:tr w:rsidR="00742BE3" w:rsidRPr="00BA6536" w14:paraId="15DC625F"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66B441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8211002000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5C20D13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7208270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DCDA91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14:paraId="4A8DC6B8"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2B6A4E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8211003000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73E0722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04882C4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7170E5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14:paraId="3A4A5A9F"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C0D53C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8212008000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6654492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MFR-M</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A86E55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418E65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6B430863"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18361A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8212007000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845052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MFR-M</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4AE279D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0.28</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D68DF1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14:paraId="6DE202A5"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5A59D3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8210002000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D8C824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MFR-M</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526E7B9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0.26</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3891B1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31F07C7E"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28C6F5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8210006000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3098897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MFR-M</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66DE75C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0.41</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F59C53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6</w:t>
            </w:r>
          </w:p>
        </w:tc>
      </w:tr>
      <w:tr w:rsidR="00742BE3" w:rsidRPr="00BA6536" w14:paraId="75F97DD6"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1E4C49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8091046000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7057A8E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6DF6A4A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A18016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13F97887" w14:textId="77777777" w:rsidTr="003D576A">
        <w:trPr>
          <w:gridAfter w:val="1"/>
          <w:wAfter w:w="64" w:type="dxa"/>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F5D834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8211006000</w:t>
            </w:r>
          </w:p>
        </w:tc>
        <w:tc>
          <w:tcPr>
            <w:tcW w:w="2420" w:type="dxa"/>
            <w:gridSpan w:val="2"/>
            <w:tcBorders>
              <w:top w:val="nil"/>
              <w:left w:val="nil"/>
              <w:bottom w:val="single" w:sz="4" w:space="0" w:color="auto"/>
              <w:right w:val="single" w:sz="4" w:space="0" w:color="auto"/>
            </w:tcBorders>
            <w:shd w:val="clear" w:color="auto" w:fill="auto"/>
            <w:noWrap/>
            <w:vAlign w:val="bottom"/>
            <w:hideMark/>
          </w:tcPr>
          <w:p w14:paraId="4181796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1F1A689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32A2C7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47C02E21" w14:textId="77777777" w:rsidTr="003D576A">
        <w:trPr>
          <w:gridAfter w:val="1"/>
          <w:wAfter w:w="64" w:type="dxa"/>
          <w:trHeight w:val="300"/>
        </w:trPr>
        <w:tc>
          <w:tcPr>
            <w:tcW w:w="2940" w:type="dxa"/>
            <w:tcBorders>
              <w:top w:val="nil"/>
              <w:left w:val="nil"/>
              <w:bottom w:val="nil"/>
              <w:right w:val="nil"/>
            </w:tcBorders>
            <w:shd w:val="clear" w:color="auto" w:fill="auto"/>
            <w:noWrap/>
            <w:vAlign w:val="bottom"/>
            <w:hideMark/>
          </w:tcPr>
          <w:p w14:paraId="64918099" w14:textId="77777777" w:rsidR="00742BE3" w:rsidRPr="00BA6536" w:rsidRDefault="00742BE3" w:rsidP="00742BE3">
            <w:pPr>
              <w:spacing w:after="0" w:line="240" w:lineRule="auto"/>
              <w:jc w:val="center"/>
              <w:rPr>
                <w:rFonts w:ascii="Calibri" w:eastAsia="Times New Roman" w:hAnsi="Calibri" w:cs="Times New Roman"/>
              </w:rPr>
            </w:pPr>
          </w:p>
        </w:tc>
        <w:tc>
          <w:tcPr>
            <w:tcW w:w="2420" w:type="dxa"/>
            <w:gridSpan w:val="2"/>
            <w:tcBorders>
              <w:top w:val="nil"/>
              <w:left w:val="single" w:sz="4" w:space="0" w:color="auto"/>
              <w:bottom w:val="nil"/>
              <w:right w:val="single" w:sz="4" w:space="0" w:color="auto"/>
            </w:tcBorders>
            <w:shd w:val="clear" w:color="auto" w:fill="auto"/>
            <w:noWrap/>
            <w:vAlign w:val="bottom"/>
            <w:hideMark/>
          </w:tcPr>
          <w:p w14:paraId="3CFF5835" w14:textId="77777777" w:rsidR="00742BE3" w:rsidRPr="00BA6536" w:rsidRDefault="00742BE3" w:rsidP="00742BE3">
            <w:pPr>
              <w:spacing w:after="0" w:line="240" w:lineRule="auto"/>
              <w:jc w:val="right"/>
              <w:rPr>
                <w:rFonts w:ascii="Calibri" w:eastAsia="Times New Roman" w:hAnsi="Calibri" w:cs="Times New Roman"/>
              </w:rPr>
            </w:pPr>
            <w:r w:rsidRPr="00BA6536">
              <w:rPr>
                <w:rFonts w:ascii="Calibri" w:eastAsia="Times New Roman" w:hAnsi="Calibri" w:cs="Times New Roman"/>
              </w:rPr>
              <w:t>TOTAL</w:t>
            </w:r>
          </w:p>
        </w:tc>
        <w:tc>
          <w:tcPr>
            <w:tcW w:w="1860" w:type="dxa"/>
            <w:gridSpan w:val="2"/>
            <w:tcBorders>
              <w:top w:val="nil"/>
              <w:left w:val="nil"/>
              <w:bottom w:val="single" w:sz="4" w:space="0" w:color="auto"/>
              <w:right w:val="single" w:sz="4" w:space="0" w:color="auto"/>
            </w:tcBorders>
            <w:shd w:val="clear" w:color="auto" w:fill="auto"/>
            <w:noWrap/>
            <w:vAlign w:val="bottom"/>
            <w:hideMark/>
          </w:tcPr>
          <w:p w14:paraId="2AE7AEF0" w14:textId="77777777" w:rsidR="00742BE3" w:rsidRPr="00BA6536" w:rsidRDefault="00742BE3" w:rsidP="00742BE3">
            <w:pPr>
              <w:spacing w:after="0" w:line="240" w:lineRule="auto"/>
              <w:jc w:val="center"/>
              <w:rPr>
                <w:rFonts w:ascii="Calibri" w:eastAsia="Times New Roman" w:hAnsi="Calibri" w:cs="Times New Roman"/>
                <w:b/>
                <w:bCs/>
              </w:rPr>
            </w:pPr>
            <w:r w:rsidRPr="00BA6536">
              <w:rPr>
                <w:rFonts w:ascii="Calibri" w:eastAsia="Times New Roman" w:hAnsi="Calibri" w:cs="Times New Roman"/>
                <w:b/>
                <w:bCs/>
              </w:rPr>
              <w:t>32.60</w:t>
            </w:r>
          </w:p>
        </w:tc>
        <w:tc>
          <w:tcPr>
            <w:tcW w:w="1840" w:type="dxa"/>
            <w:gridSpan w:val="2"/>
            <w:tcBorders>
              <w:top w:val="nil"/>
              <w:left w:val="nil"/>
              <w:bottom w:val="single" w:sz="4" w:space="0" w:color="auto"/>
              <w:right w:val="single" w:sz="4" w:space="0" w:color="auto"/>
            </w:tcBorders>
            <w:shd w:val="clear" w:color="auto" w:fill="E7E6E6" w:themeFill="background2"/>
            <w:noWrap/>
            <w:vAlign w:val="bottom"/>
            <w:hideMark/>
          </w:tcPr>
          <w:p w14:paraId="152F042F" w14:textId="77777777" w:rsidR="00742BE3" w:rsidRPr="00BA6536" w:rsidRDefault="00742BE3" w:rsidP="00742BE3">
            <w:pPr>
              <w:spacing w:after="0" w:line="240" w:lineRule="auto"/>
              <w:jc w:val="center"/>
              <w:rPr>
                <w:rFonts w:ascii="Calibri" w:eastAsia="Times New Roman" w:hAnsi="Calibri" w:cs="Times New Roman"/>
                <w:b/>
                <w:bCs/>
              </w:rPr>
            </w:pPr>
            <w:r w:rsidRPr="00BA6536">
              <w:rPr>
                <w:rFonts w:ascii="Calibri" w:eastAsia="Times New Roman" w:hAnsi="Calibri" w:cs="Times New Roman"/>
                <w:b/>
                <w:bCs/>
              </w:rPr>
              <w:t>444</w:t>
            </w:r>
          </w:p>
        </w:tc>
      </w:tr>
      <w:tr w:rsidR="00742BE3" w:rsidRPr="00BA6536" w14:paraId="68AEE20F" w14:textId="77777777" w:rsidTr="003D576A">
        <w:trPr>
          <w:trHeight w:val="300"/>
        </w:trPr>
        <w:tc>
          <w:tcPr>
            <w:tcW w:w="2956" w:type="dxa"/>
            <w:gridSpan w:val="2"/>
            <w:tcBorders>
              <w:top w:val="nil"/>
              <w:left w:val="nil"/>
              <w:bottom w:val="nil"/>
              <w:right w:val="nil"/>
            </w:tcBorders>
            <w:shd w:val="clear" w:color="auto" w:fill="auto"/>
            <w:noWrap/>
            <w:vAlign w:val="bottom"/>
            <w:hideMark/>
          </w:tcPr>
          <w:p w14:paraId="32B68487" w14:textId="77777777" w:rsidR="00742BE3" w:rsidRPr="00BA6536" w:rsidRDefault="00742BE3" w:rsidP="00742BE3">
            <w:pPr>
              <w:spacing w:after="0" w:line="240" w:lineRule="auto"/>
              <w:rPr>
                <w:rFonts w:ascii="Calibri" w:eastAsia="Times New Roman" w:hAnsi="Calibri" w:cs="Times New Roman"/>
              </w:rPr>
            </w:pPr>
            <w:r w:rsidRPr="00BA6536">
              <w:rPr>
                <w:rFonts w:ascii="Calibri" w:eastAsia="Times New Roman" w:hAnsi="Calibri" w:cs="Times New Roman"/>
              </w:rPr>
              <w:t>Table 28 June Lake</w:t>
            </w:r>
          </w:p>
        </w:tc>
        <w:tc>
          <w:tcPr>
            <w:tcW w:w="2436" w:type="dxa"/>
            <w:gridSpan w:val="2"/>
            <w:tcBorders>
              <w:top w:val="nil"/>
              <w:left w:val="nil"/>
              <w:bottom w:val="nil"/>
              <w:right w:val="nil"/>
            </w:tcBorders>
            <w:shd w:val="clear" w:color="auto" w:fill="auto"/>
            <w:noWrap/>
            <w:vAlign w:val="bottom"/>
            <w:hideMark/>
          </w:tcPr>
          <w:p w14:paraId="1F06EF09" w14:textId="77777777" w:rsidR="00742BE3" w:rsidRPr="00BA6536" w:rsidRDefault="00742BE3" w:rsidP="00742BE3">
            <w:pPr>
              <w:spacing w:after="0" w:line="240" w:lineRule="auto"/>
              <w:rPr>
                <w:rFonts w:ascii="Calibri" w:eastAsia="Times New Roman" w:hAnsi="Calibri" w:cs="Times New Roman"/>
              </w:rPr>
            </w:pPr>
          </w:p>
        </w:tc>
        <w:tc>
          <w:tcPr>
            <w:tcW w:w="1876" w:type="dxa"/>
            <w:gridSpan w:val="2"/>
            <w:tcBorders>
              <w:top w:val="nil"/>
              <w:left w:val="nil"/>
              <w:bottom w:val="nil"/>
              <w:right w:val="nil"/>
            </w:tcBorders>
            <w:shd w:val="clear" w:color="auto" w:fill="E7E6E6" w:themeFill="background2"/>
            <w:noWrap/>
            <w:vAlign w:val="bottom"/>
            <w:hideMark/>
          </w:tcPr>
          <w:p w14:paraId="680CE464" w14:textId="77777777" w:rsidR="00742BE3" w:rsidRPr="00BA6536" w:rsidRDefault="00742BE3" w:rsidP="00742BE3">
            <w:pPr>
              <w:spacing w:after="0" w:line="240" w:lineRule="auto"/>
              <w:jc w:val="center"/>
              <w:rPr>
                <w:rFonts w:ascii="Times New Roman" w:eastAsia="Times New Roman" w:hAnsi="Times New Roman" w:cs="Times New Roman"/>
                <w:sz w:val="20"/>
                <w:szCs w:val="20"/>
              </w:rPr>
            </w:pPr>
          </w:p>
        </w:tc>
        <w:tc>
          <w:tcPr>
            <w:tcW w:w="1856" w:type="dxa"/>
            <w:gridSpan w:val="2"/>
            <w:tcBorders>
              <w:top w:val="nil"/>
              <w:left w:val="nil"/>
              <w:bottom w:val="nil"/>
              <w:right w:val="nil"/>
            </w:tcBorders>
            <w:shd w:val="clear" w:color="auto" w:fill="E7E6E6" w:themeFill="background2"/>
            <w:noWrap/>
            <w:vAlign w:val="bottom"/>
            <w:hideMark/>
          </w:tcPr>
          <w:p w14:paraId="51A2AC0A" w14:textId="77777777" w:rsidR="00742BE3" w:rsidRPr="00BA6536" w:rsidRDefault="00742BE3" w:rsidP="00742BE3">
            <w:pPr>
              <w:spacing w:after="0" w:line="240" w:lineRule="auto"/>
              <w:jc w:val="center"/>
              <w:rPr>
                <w:rFonts w:ascii="Times New Roman" w:eastAsia="Times New Roman" w:hAnsi="Times New Roman" w:cs="Times New Roman"/>
                <w:sz w:val="20"/>
                <w:szCs w:val="20"/>
              </w:rPr>
            </w:pPr>
          </w:p>
        </w:tc>
      </w:tr>
      <w:tr w:rsidR="00742BE3" w:rsidRPr="00BA6536" w14:paraId="00565A4F" w14:textId="77777777" w:rsidTr="003D576A">
        <w:trPr>
          <w:trHeight w:val="300"/>
        </w:trPr>
        <w:tc>
          <w:tcPr>
            <w:tcW w:w="29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33EE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Parcel APN</w:t>
            </w:r>
          </w:p>
        </w:tc>
        <w:tc>
          <w:tcPr>
            <w:tcW w:w="2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30FB8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LUD</w:t>
            </w:r>
          </w:p>
        </w:tc>
        <w:tc>
          <w:tcPr>
            <w:tcW w:w="1876"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12D910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Acres</w:t>
            </w:r>
          </w:p>
        </w:tc>
        <w:tc>
          <w:tcPr>
            <w:tcW w:w="1856" w:type="dxa"/>
            <w:gridSpan w:val="2"/>
            <w:tcBorders>
              <w:top w:val="single" w:sz="4" w:space="0" w:color="auto"/>
              <w:left w:val="nil"/>
              <w:bottom w:val="single" w:sz="4" w:space="0" w:color="auto"/>
              <w:right w:val="single" w:sz="4" w:space="0" w:color="auto"/>
            </w:tcBorders>
            <w:shd w:val="clear" w:color="auto" w:fill="E7E6E6" w:themeFill="background2"/>
            <w:noWrap/>
            <w:vAlign w:val="bottom"/>
            <w:hideMark/>
          </w:tcPr>
          <w:p w14:paraId="0C219B7A" w14:textId="77777777" w:rsidR="00742BE3" w:rsidRPr="00BA6536" w:rsidRDefault="00B87958"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 xml:space="preserve">Realistic </w:t>
            </w:r>
            <w:r w:rsidR="00742BE3" w:rsidRPr="00BA6536">
              <w:rPr>
                <w:rFonts w:ascii="Calibri" w:eastAsia="Times New Roman" w:hAnsi="Calibri" w:cs="Times New Roman"/>
              </w:rPr>
              <w:t>Units @ Build Out</w:t>
            </w:r>
          </w:p>
        </w:tc>
      </w:tr>
      <w:tr w:rsidR="00742BE3" w:rsidRPr="00BA6536" w14:paraId="608AA751"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D34B0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16192014000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3F1826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324F9F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C9523C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3CEA4816"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41AB5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16192013000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6C56E51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5C9ED3C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42F7D6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4DD195FA"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DC36E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5331DA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504579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2A061B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20858747"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73724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16217039000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73F3310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53ACDED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9EDBD5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700EA9FF"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A36C0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16217033000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17371E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04E66BD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6C3C94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36DC67EF"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9C94B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7B02450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120582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0E25B7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77704F4E"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8C052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16217040000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6AF88E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723116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75F8B5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1CE4C094"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9F5BF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16217027000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3E98240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6DAA8F0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33D2C9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1CE8014A"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BC9CD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16217029000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74D900D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4401850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958560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3CA14036"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862BB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16217032000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35477E9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12D05DC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EAA0C2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47C43FEA"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291DC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7167293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1DA3F97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6A735B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68BA6214"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D4C1B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16217028000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318247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603B5EF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0B707F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613B4A9D"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518C0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16193025000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076D96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A7F99A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C36E6A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5</w:t>
            </w:r>
          </w:p>
        </w:tc>
      </w:tr>
      <w:tr w:rsidR="00742BE3" w:rsidRPr="00BA6536" w14:paraId="2D8D8B2C"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AA60D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16216030000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3552295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C07E30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0.25</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59CDB1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5A057A37"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20E8F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15086021000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B95CDE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4D08FB0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0.10</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C92E26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199D0487"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2E6B5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2D7EC6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4093F29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6CDA0C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6F4EA9B8"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C35E8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15086018000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D0F00D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3A02C1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2C8757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3E4662A0"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D1FC1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15072015000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0DC0EF2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3DA2604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953C8A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21299A28"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425C6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65E0CCA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7C18746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13609F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34994CD9"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0BBE4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15075015000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6190A50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0516FC1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DD0F6C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4B21F485"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25FF0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15075020000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64B522A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13FF579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5CFACB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05F97800"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AE7EC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15075021000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7143CC0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50F5FF2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0.12</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8497AD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162733AA"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7D43D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36A0262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38E5B0D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EBD104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0E8D90A6"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F5C47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15073026000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077FF76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53431E5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0.24</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0EF7CA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1914B5CE"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F2E77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6CA61AF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3B66518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F53489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21CCD0CF"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8F575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78172EB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C695CC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119472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1B736491"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735CE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15072016000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69C0039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0657043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0.25</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34865B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7695F13F"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E5D9E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15075019000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70E55AD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9DAE7D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DFCCEC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606AB6D3"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55043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15075017000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65903F7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69E0D2E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108246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59BACAC3"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F4AA4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15111029000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D350F4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5798EF1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119115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59E14171"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016F5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15111027000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819F21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668415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89F147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5F2F94E1"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9883F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15111028000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30A59A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7F1DBF0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336FA5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6585029F"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6F667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15111014000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2FB9A35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7FBC137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D44051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65DCCF2F"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C28CE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15072017000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4A4D03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51D4945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34B969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5</w:t>
            </w:r>
          </w:p>
        </w:tc>
      </w:tr>
      <w:tr w:rsidR="00742BE3" w:rsidRPr="00BA6536" w14:paraId="7F401F9F"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051DF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15113025000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65C133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55996B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0.12</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8F8E39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7A33F4A4"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0A1C0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15112032000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0E34AA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3AB4F03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0.14</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A715E1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w:t>
            </w:r>
          </w:p>
        </w:tc>
      </w:tr>
      <w:tr w:rsidR="00742BE3" w:rsidRPr="00BA6536" w14:paraId="7996B99B"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3D38A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15112017000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65B443D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4F9BD77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8A5BED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10B01D0A"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5B736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15112019000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1D673F9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1D0033E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BD4759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2BDCFE29"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56D3C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15112006000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107A6F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D9DA04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31BC83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14AD3495"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0F415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15112011000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C4B57C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5173B36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EB65A2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4DD39314"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C6E44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15113010000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102FB7A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11A56F4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2AB39C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4EE820C5"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BE4AA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15113013000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7436B3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007623A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F42C0B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37B2C017"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3E074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15104050000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78A9DCD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78B4C0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0.05</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5F15E1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48D228D5"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800D3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15103018000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E88EA0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7586D49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096EB6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2B59ADA3"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755FB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15113014000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EE62F1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6FA8B0D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0.17</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594DFC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5F1ED56D"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66FF9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15113070000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C68E2C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6ECFF33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AB2241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483CB4A4"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EE9F5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15113054000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2963F0A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7A12F50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0.15</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44FE62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356F90F4"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EACEF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15113042000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A11EBCF"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7C90527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0.11</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7B9940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08080525"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18A90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15103021000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1119107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099A65E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344F8C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47268C7B"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BA07A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15104041000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19C5614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443127B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0.72</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CCCC822"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10</w:t>
            </w:r>
          </w:p>
        </w:tc>
      </w:tr>
      <w:tr w:rsidR="00742BE3" w:rsidRPr="00BA6536" w14:paraId="1288DC7E"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E8132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15104047000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E33185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MU</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693A317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0.33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887F32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4</w:t>
            </w:r>
          </w:p>
        </w:tc>
      </w:tr>
      <w:tr w:rsidR="00742BE3" w:rsidRPr="00BA6536" w14:paraId="44D9432E"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7F8AD8"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15103022000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62FE355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4D523A21"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0.43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68CDBC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6</w:t>
            </w:r>
          </w:p>
        </w:tc>
      </w:tr>
      <w:tr w:rsidR="00742BE3" w:rsidRPr="00BA6536" w14:paraId="57C4ADC7"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F3114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15104046000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0EABB4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581EFDD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0.48</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7FBF3C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7</w:t>
            </w:r>
          </w:p>
        </w:tc>
      </w:tr>
      <w:tr w:rsidR="00742BE3" w:rsidRPr="00BA6536" w14:paraId="627A16E3"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4B8EE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15103020000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00B4EA37"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MFR-H</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3789F45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0.04</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2701FA0"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w:t>
            </w:r>
          </w:p>
        </w:tc>
      </w:tr>
      <w:tr w:rsidR="00742BE3" w:rsidRPr="00BA6536" w14:paraId="3D7424FB"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CCF38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15104043000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1A785E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2C9563A"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0.02</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0FDA373"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w:t>
            </w:r>
          </w:p>
        </w:tc>
      </w:tr>
      <w:tr w:rsidR="00742BE3" w:rsidRPr="00BA6536" w14:paraId="405EA9C5"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BB7F7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15086037000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53168AC4"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C</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2D66F6D"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0.23</w:t>
            </w:r>
          </w:p>
        </w:tc>
        <w:tc>
          <w:tcPr>
            <w:tcW w:w="185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77D637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64C5C564"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A3D1F9"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16217034000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49BAE40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21CB68BE"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0.19</w:t>
            </w:r>
          </w:p>
        </w:tc>
        <w:tc>
          <w:tcPr>
            <w:tcW w:w="1856" w:type="dxa"/>
            <w:gridSpan w:val="2"/>
            <w:tcBorders>
              <w:top w:val="nil"/>
              <w:left w:val="nil"/>
              <w:bottom w:val="single" w:sz="4" w:space="0" w:color="auto"/>
              <w:right w:val="single" w:sz="4" w:space="0" w:color="auto"/>
            </w:tcBorders>
            <w:shd w:val="clear" w:color="auto" w:fill="E7E6E6" w:themeFill="background2"/>
            <w:noWrap/>
            <w:vAlign w:val="bottom"/>
            <w:hideMark/>
          </w:tcPr>
          <w:p w14:paraId="137E0656"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2</w:t>
            </w:r>
          </w:p>
        </w:tc>
      </w:tr>
      <w:tr w:rsidR="00742BE3" w:rsidRPr="00BA6536" w14:paraId="5D928D81" w14:textId="77777777" w:rsidTr="003D576A">
        <w:trPr>
          <w:trHeight w:val="300"/>
        </w:trPr>
        <w:tc>
          <w:tcPr>
            <w:tcW w:w="29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32775B"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16217024000</w:t>
            </w:r>
          </w:p>
        </w:tc>
        <w:tc>
          <w:tcPr>
            <w:tcW w:w="2436" w:type="dxa"/>
            <w:gridSpan w:val="2"/>
            <w:tcBorders>
              <w:top w:val="nil"/>
              <w:left w:val="nil"/>
              <w:bottom w:val="single" w:sz="4" w:space="0" w:color="auto"/>
              <w:right w:val="single" w:sz="4" w:space="0" w:color="auto"/>
            </w:tcBorders>
            <w:shd w:val="clear" w:color="auto" w:fill="auto"/>
            <w:noWrap/>
            <w:vAlign w:val="bottom"/>
            <w:hideMark/>
          </w:tcPr>
          <w:p w14:paraId="3519925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MFR-L</w:t>
            </w:r>
          </w:p>
        </w:tc>
        <w:tc>
          <w:tcPr>
            <w:tcW w:w="1876" w:type="dxa"/>
            <w:gridSpan w:val="2"/>
            <w:tcBorders>
              <w:top w:val="nil"/>
              <w:left w:val="nil"/>
              <w:bottom w:val="single" w:sz="4" w:space="0" w:color="auto"/>
              <w:right w:val="single" w:sz="4" w:space="0" w:color="auto"/>
            </w:tcBorders>
            <w:shd w:val="clear" w:color="auto" w:fill="FFFFFF" w:themeFill="background1"/>
            <w:noWrap/>
            <w:vAlign w:val="bottom"/>
            <w:hideMark/>
          </w:tcPr>
          <w:p w14:paraId="3110A505"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0.29</w:t>
            </w:r>
          </w:p>
        </w:tc>
        <w:tc>
          <w:tcPr>
            <w:tcW w:w="1856" w:type="dxa"/>
            <w:gridSpan w:val="2"/>
            <w:tcBorders>
              <w:top w:val="nil"/>
              <w:left w:val="nil"/>
              <w:bottom w:val="single" w:sz="4" w:space="0" w:color="auto"/>
              <w:right w:val="single" w:sz="4" w:space="0" w:color="auto"/>
            </w:tcBorders>
            <w:shd w:val="clear" w:color="auto" w:fill="E7E6E6" w:themeFill="background2"/>
            <w:noWrap/>
            <w:vAlign w:val="bottom"/>
            <w:hideMark/>
          </w:tcPr>
          <w:p w14:paraId="6697833C" w14:textId="77777777" w:rsidR="00742BE3" w:rsidRPr="00BA6536" w:rsidRDefault="00742BE3" w:rsidP="00742BE3">
            <w:pPr>
              <w:spacing w:after="0" w:line="240" w:lineRule="auto"/>
              <w:jc w:val="center"/>
              <w:rPr>
                <w:rFonts w:ascii="Calibri" w:eastAsia="Times New Roman" w:hAnsi="Calibri" w:cs="Times New Roman"/>
              </w:rPr>
            </w:pPr>
            <w:r w:rsidRPr="00BA6536">
              <w:rPr>
                <w:rFonts w:ascii="Calibri" w:eastAsia="Times New Roman" w:hAnsi="Calibri" w:cs="Times New Roman"/>
              </w:rPr>
              <w:t>3</w:t>
            </w:r>
          </w:p>
        </w:tc>
      </w:tr>
      <w:tr w:rsidR="00742BE3" w:rsidRPr="00BA6536" w14:paraId="2189C35D" w14:textId="77777777" w:rsidTr="003D576A">
        <w:trPr>
          <w:trHeight w:val="300"/>
        </w:trPr>
        <w:tc>
          <w:tcPr>
            <w:tcW w:w="2956" w:type="dxa"/>
            <w:gridSpan w:val="2"/>
            <w:tcBorders>
              <w:top w:val="nil"/>
              <w:left w:val="nil"/>
              <w:bottom w:val="nil"/>
              <w:right w:val="nil"/>
            </w:tcBorders>
            <w:shd w:val="clear" w:color="auto" w:fill="auto"/>
            <w:noWrap/>
            <w:vAlign w:val="bottom"/>
            <w:hideMark/>
          </w:tcPr>
          <w:p w14:paraId="5A4B7F9A" w14:textId="77777777" w:rsidR="00742BE3" w:rsidRPr="00BA6536" w:rsidRDefault="00742BE3" w:rsidP="00742BE3">
            <w:pPr>
              <w:spacing w:after="0" w:line="240" w:lineRule="auto"/>
              <w:jc w:val="center"/>
              <w:rPr>
                <w:rFonts w:ascii="Calibri" w:eastAsia="Times New Roman" w:hAnsi="Calibri" w:cs="Times New Roman"/>
              </w:rPr>
            </w:pPr>
          </w:p>
        </w:tc>
        <w:tc>
          <w:tcPr>
            <w:tcW w:w="2436" w:type="dxa"/>
            <w:gridSpan w:val="2"/>
            <w:tcBorders>
              <w:top w:val="nil"/>
              <w:left w:val="nil"/>
              <w:bottom w:val="nil"/>
              <w:right w:val="nil"/>
            </w:tcBorders>
            <w:shd w:val="clear" w:color="auto" w:fill="auto"/>
            <w:noWrap/>
            <w:vAlign w:val="bottom"/>
            <w:hideMark/>
          </w:tcPr>
          <w:p w14:paraId="1D6B2CCF" w14:textId="77777777" w:rsidR="00742BE3" w:rsidRPr="00BA6536" w:rsidRDefault="00742BE3" w:rsidP="00742BE3">
            <w:pPr>
              <w:spacing w:after="0" w:line="240" w:lineRule="auto"/>
              <w:rPr>
                <w:rFonts w:ascii="Times New Roman" w:eastAsia="Times New Roman" w:hAnsi="Times New Roman" w:cs="Times New Roman"/>
                <w:sz w:val="20"/>
                <w:szCs w:val="20"/>
              </w:rPr>
            </w:pPr>
          </w:p>
        </w:tc>
        <w:tc>
          <w:tcPr>
            <w:tcW w:w="1876" w:type="dxa"/>
            <w:gridSpan w:val="2"/>
            <w:tcBorders>
              <w:top w:val="nil"/>
              <w:left w:val="single" w:sz="4" w:space="0" w:color="auto"/>
              <w:bottom w:val="nil"/>
              <w:right w:val="single" w:sz="4" w:space="0" w:color="auto"/>
            </w:tcBorders>
            <w:shd w:val="clear" w:color="auto" w:fill="auto"/>
            <w:noWrap/>
            <w:vAlign w:val="bottom"/>
            <w:hideMark/>
          </w:tcPr>
          <w:p w14:paraId="33A2D053" w14:textId="77777777" w:rsidR="00742BE3" w:rsidRPr="00BA6536" w:rsidRDefault="00742BE3" w:rsidP="00742BE3">
            <w:pPr>
              <w:spacing w:after="0" w:line="240" w:lineRule="auto"/>
              <w:jc w:val="center"/>
              <w:rPr>
                <w:rFonts w:ascii="Calibri" w:eastAsia="Times New Roman" w:hAnsi="Calibri" w:cs="Times New Roman"/>
                <w:b/>
              </w:rPr>
            </w:pPr>
            <w:r w:rsidRPr="00BA6536">
              <w:rPr>
                <w:rFonts w:ascii="Calibri" w:eastAsia="Times New Roman" w:hAnsi="Calibri" w:cs="Times New Roman"/>
                <w:b/>
              </w:rPr>
              <w:t>10.86</w:t>
            </w:r>
          </w:p>
        </w:tc>
        <w:tc>
          <w:tcPr>
            <w:tcW w:w="1856" w:type="dxa"/>
            <w:gridSpan w:val="2"/>
            <w:tcBorders>
              <w:top w:val="nil"/>
              <w:left w:val="nil"/>
              <w:bottom w:val="nil"/>
              <w:right w:val="single" w:sz="4" w:space="0" w:color="auto"/>
            </w:tcBorders>
            <w:shd w:val="clear" w:color="auto" w:fill="E7E6E6" w:themeFill="background2"/>
            <w:noWrap/>
            <w:vAlign w:val="bottom"/>
            <w:hideMark/>
          </w:tcPr>
          <w:p w14:paraId="081ED2CD" w14:textId="77777777" w:rsidR="00742BE3" w:rsidRPr="00BA6536" w:rsidRDefault="00742BE3" w:rsidP="00742BE3">
            <w:pPr>
              <w:spacing w:after="0" w:line="240" w:lineRule="auto"/>
              <w:jc w:val="center"/>
              <w:rPr>
                <w:rFonts w:ascii="Calibri" w:eastAsia="Times New Roman" w:hAnsi="Calibri" w:cs="Times New Roman"/>
                <w:b/>
              </w:rPr>
            </w:pPr>
            <w:r w:rsidRPr="00BA6536">
              <w:rPr>
                <w:rFonts w:ascii="Calibri" w:eastAsia="Times New Roman" w:hAnsi="Calibri" w:cs="Times New Roman"/>
                <w:b/>
              </w:rPr>
              <w:t>140</w:t>
            </w:r>
          </w:p>
        </w:tc>
      </w:tr>
      <w:tr w:rsidR="002B4CDA" w:rsidRPr="00BA6536" w14:paraId="09258319" w14:textId="77777777" w:rsidTr="003D576A">
        <w:trPr>
          <w:trHeight w:val="300"/>
        </w:trPr>
        <w:tc>
          <w:tcPr>
            <w:tcW w:w="2956" w:type="dxa"/>
            <w:gridSpan w:val="2"/>
            <w:tcBorders>
              <w:top w:val="nil"/>
              <w:left w:val="nil"/>
              <w:bottom w:val="nil"/>
              <w:right w:val="nil"/>
            </w:tcBorders>
            <w:shd w:val="clear" w:color="auto" w:fill="auto"/>
            <w:noWrap/>
            <w:vAlign w:val="bottom"/>
          </w:tcPr>
          <w:p w14:paraId="3D1885CD" w14:textId="77777777" w:rsidR="002B4CDA" w:rsidRPr="00BA6536" w:rsidRDefault="002B4CDA" w:rsidP="00742BE3">
            <w:pPr>
              <w:spacing w:after="0" w:line="240" w:lineRule="auto"/>
              <w:jc w:val="center"/>
              <w:rPr>
                <w:rFonts w:ascii="Calibri" w:eastAsia="Times New Roman" w:hAnsi="Calibri" w:cs="Times New Roman"/>
              </w:rPr>
            </w:pPr>
          </w:p>
        </w:tc>
        <w:tc>
          <w:tcPr>
            <w:tcW w:w="2436" w:type="dxa"/>
            <w:gridSpan w:val="2"/>
            <w:tcBorders>
              <w:top w:val="nil"/>
              <w:left w:val="nil"/>
              <w:bottom w:val="nil"/>
              <w:right w:val="nil"/>
            </w:tcBorders>
            <w:shd w:val="clear" w:color="auto" w:fill="auto"/>
            <w:noWrap/>
            <w:vAlign w:val="bottom"/>
          </w:tcPr>
          <w:p w14:paraId="70D1DA18" w14:textId="77777777" w:rsidR="002B4CDA" w:rsidRPr="00BA6536" w:rsidRDefault="002B4CDA" w:rsidP="00742BE3">
            <w:pPr>
              <w:spacing w:after="0" w:line="240" w:lineRule="auto"/>
              <w:rPr>
                <w:rFonts w:ascii="Times New Roman" w:eastAsia="Times New Roman" w:hAnsi="Times New Roman" w:cs="Times New Roman"/>
                <w:sz w:val="20"/>
                <w:szCs w:val="20"/>
              </w:rPr>
            </w:pPr>
          </w:p>
        </w:tc>
        <w:tc>
          <w:tcPr>
            <w:tcW w:w="1876" w:type="dxa"/>
            <w:gridSpan w:val="2"/>
            <w:tcBorders>
              <w:top w:val="nil"/>
              <w:left w:val="single" w:sz="4" w:space="0" w:color="auto"/>
              <w:bottom w:val="single" w:sz="4" w:space="0" w:color="auto"/>
              <w:right w:val="single" w:sz="4" w:space="0" w:color="auto"/>
            </w:tcBorders>
            <w:shd w:val="clear" w:color="auto" w:fill="auto"/>
            <w:noWrap/>
            <w:vAlign w:val="bottom"/>
          </w:tcPr>
          <w:p w14:paraId="3DA8B5A4" w14:textId="77777777" w:rsidR="002B4CDA" w:rsidRPr="00BA6536" w:rsidRDefault="002B4CDA" w:rsidP="00742BE3">
            <w:pPr>
              <w:spacing w:after="0" w:line="240" w:lineRule="auto"/>
              <w:jc w:val="center"/>
              <w:rPr>
                <w:rFonts w:ascii="Calibri" w:eastAsia="Times New Roman" w:hAnsi="Calibri" w:cs="Times New Roman"/>
                <w:b/>
              </w:rPr>
            </w:pPr>
          </w:p>
        </w:tc>
        <w:tc>
          <w:tcPr>
            <w:tcW w:w="1856" w:type="dxa"/>
            <w:gridSpan w:val="2"/>
            <w:tcBorders>
              <w:top w:val="nil"/>
              <w:left w:val="nil"/>
              <w:bottom w:val="single" w:sz="4" w:space="0" w:color="auto"/>
              <w:right w:val="single" w:sz="4" w:space="0" w:color="auto"/>
            </w:tcBorders>
            <w:shd w:val="clear" w:color="auto" w:fill="E7E6E6" w:themeFill="background2"/>
            <w:noWrap/>
            <w:vAlign w:val="bottom"/>
          </w:tcPr>
          <w:p w14:paraId="0C4D3637" w14:textId="77777777" w:rsidR="002B4CDA" w:rsidRPr="00BA6536" w:rsidRDefault="002B4CDA" w:rsidP="00742BE3">
            <w:pPr>
              <w:spacing w:after="0" w:line="240" w:lineRule="auto"/>
              <w:jc w:val="center"/>
              <w:rPr>
                <w:rFonts w:ascii="Calibri" w:eastAsia="Times New Roman" w:hAnsi="Calibri" w:cs="Times New Roman"/>
                <w:b/>
              </w:rPr>
            </w:pPr>
          </w:p>
        </w:tc>
      </w:tr>
    </w:tbl>
    <w:p w14:paraId="7F230283" w14:textId="77777777" w:rsidR="001C6E1E" w:rsidRPr="00BA6536" w:rsidRDefault="001C6E1E" w:rsidP="00D65ADF">
      <w:pPr>
        <w:widowControl w:val="0"/>
        <w:autoSpaceDE w:val="0"/>
        <w:autoSpaceDN w:val="0"/>
        <w:adjustRightInd w:val="0"/>
        <w:spacing w:after="0" w:line="280" w:lineRule="atLeast"/>
        <w:jc w:val="both"/>
        <w:rPr>
          <w:rFonts w:eastAsia="Times New Roman" w:cs="Arial"/>
          <w:b/>
          <w:highlight w:val="yellow"/>
          <w:lang w:bidi="en-US"/>
        </w:rPr>
      </w:pPr>
    </w:p>
    <w:p w14:paraId="7D2450C6" w14:textId="77777777" w:rsidR="001C6E1E" w:rsidRPr="00BA6536" w:rsidRDefault="00C460AE" w:rsidP="00D65ADF">
      <w:pPr>
        <w:widowControl w:val="0"/>
        <w:autoSpaceDE w:val="0"/>
        <w:autoSpaceDN w:val="0"/>
        <w:adjustRightInd w:val="0"/>
        <w:spacing w:after="0" w:line="280" w:lineRule="atLeast"/>
        <w:jc w:val="both"/>
        <w:rPr>
          <w:rFonts w:eastAsia="Times New Roman" w:cs="Arial"/>
          <w:b/>
          <w:highlight w:val="yellow"/>
          <w:lang w:bidi="en-US"/>
        </w:rPr>
      </w:pPr>
      <w:r w:rsidRPr="00BA6536">
        <w:rPr>
          <w:rFonts w:eastAsia="Times New Roman" w:cs="Arial"/>
          <w:b/>
          <w:noProof/>
        </w:rPr>
        <w:drawing>
          <wp:inline distT="0" distB="0" distL="0" distR="0" wp14:anchorId="2629A551" wp14:editId="26B7D564">
            <wp:extent cx="5943600" cy="4978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mmunity_locator.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978400"/>
                    </a:xfrm>
                    <a:prstGeom prst="rect">
                      <a:avLst/>
                    </a:prstGeom>
                  </pic:spPr>
                </pic:pic>
              </a:graphicData>
            </a:graphic>
          </wp:inline>
        </w:drawing>
      </w:r>
    </w:p>
    <w:p w14:paraId="753BBF6D" w14:textId="77777777" w:rsidR="002B4CDA" w:rsidRPr="00BA6536" w:rsidRDefault="002B4CDA" w:rsidP="00D65ADF">
      <w:pPr>
        <w:widowControl w:val="0"/>
        <w:autoSpaceDE w:val="0"/>
        <w:autoSpaceDN w:val="0"/>
        <w:adjustRightInd w:val="0"/>
        <w:spacing w:after="0" w:line="280" w:lineRule="atLeast"/>
        <w:jc w:val="both"/>
        <w:rPr>
          <w:rFonts w:eastAsia="Times New Roman" w:cs="Arial"/>
          <w:b/>
          <w:highlight w:val="yellow"/>
          <w:lang w:bidi="en-US"/>
        </w:rPr>
      </w:pPr>
      <w:r w:rsidRPr="00BA6536">
        <w:rPr>
          <w:rFonts w:eastAsia="Times New Roman" w:cs="Arial"/>
          <w:b/>
          <w:noProof/>
        </w:rPr>
        <w:drawing>
          <wp:inline distT="0" distB="0" distL="0" distR="0" wp14:anchorId="7582234F" wp14:editId="1C918091">
            <wp:extent cx="7772400" cy="1005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port_vacant _parcel_analysis.jpg"/>
                    <pic:cNvPicPr/>
                  </pic:nvPicPr>
                  <pic:blipFill>
                    <a:blip r:embed="rId1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102BB069" w14:textId="77777777" w:rsidR="004F1CEA" w:rsidRPr="00BA6536" w:rsidRDefault="001C6E1E" w:rsidP="00D65ADF">
      <w:pPr>
        <w:widowControl w:val="0"/>
        <w:autoSpaceDE w:val="0"/>
        <w:autoSpaceDN w:val="0"/>
        <w:adjustRightInd w:val="0"/>
        <w:spacing w:after="0" w:line="280" w:lineRule="atLeast"/>
        <w:jc w:val="both"/>
        <w:rPr>
          <w:rFonts w:eastAsia="Times New Roman" w:cs="Arial"/>
          <w:b/>
          <w:highlight w:val="yellow"/>
          <w:lang w:bidi="en-US"/>
        </w:rPr>
      </w:pPr>
      <w:r w:rsidRPr="00BA6536">
        <w:rPr>
          <w:rFonts w:eastAsia="Times New Roman" w:cs="Arial"/>
          <w:b/>
          <w:noProof/>
        </w:rPr>
        <w:drawing>
          <wp:inline distT="0" distB="0" distL="0" distR="0" wp14:anchorId="14FDFFB0" wp14:editId="6F46C193">
            <wp:extent cx="10058400" cy="777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une_lake_vacant_parcel_analysis.jpg"/>
                    <pic:cNvPicPr/>
                  </pic:nvPicPr>
                  <pic:blipFill>
                    <a:blip r:embed="rId16">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inline>
        </w:drawing>
      </w:r>
    </w:p>
    <w:p w14:paraId="771B70B3" w14:textId="77777777" w:rsidR="00740509" w:rsidRPr="00BA6536" w:rsidRDefault="00740509" w:rsidP="00D65ADF">
      <w:pPr>
        <w:widowControl w:val="0"/>
        <w:autoSpaceDE w:val="0"/>
        <w:autoSpaceDN w:val="0"/>
        <w:adjustRightInd w:val="0"/>
        <w:spacing w:after="0" w:line="280" w:lineRule="atLeast"/>
        <w:jc w:val="both"/>
        <w:rPr>
          <w:rFonts w:eastAsia="Times New Roman" w:cs="Arial"/>
          <w:lang w:bidi="en-US"/>
        </w:rPr>
      </w:pPr>
    </w:p>
    <w:p w14:paraId="72BF8AF2" w14:textId="77777777" w:rsidR="00D65ADF" w:rsidRPr="00BA6536" w:rsidRDefault="002E1FEA" w:rsidP="003D5E81">
      <w:pPr>
        <w:pStyle w:val="Heading2"/>
        <w:rPr>
          <w:rFonts w:eastAsia="Times New Roman" w:cs="Times New Roman"/>
          <w:color w:val="auto"/>
        </w:rPr>
      </w:pPr>
      <w:bookmarkStart w:id="173" w:name="_Toc383700028"/>
      <w:r>
        <w:rPr>
          <w:rFonts w:eastAsia="Times New Roman" w:cs="Times New Roman"/>
          <w:color w:val="auto"/>
        </w:rPr>
        <w:t xml:space="preserve">B. </w:t>
      </w:r>
      <w:r w:rsidR="00D65ADF" w:rsidRPr="00BA6536">
        <w:rPr>
          <w:rFonts w:eastAsia="Times New Roman" w:cs="Times New Roman"/>
          <w:color w:val="auto"/>
        </w:rPr>
        <w:t>GOVERNMENTAL CONSTRAINTS</w:t>
      </w:r>
      <w:bookmarkEnd w:id="173"/>
      <w:r w:rsidR="00D65ADF" w:rsidRPr="00BA6536">
        <w:rPr>
          <w:rFonts w:eastAsia="Times New Roman" w:cs="Times New Roman"/>
          <w:color w:val="auto"/>
        </w:rPr>
        <w:fldChar w:fldCharType="begin"/>
      </w:r>
      <w:r w:rsidR="00D65ADF" w:rsidRPr="00BA6536">
        <w:rPr>
          <w:rFonts w:eastAsia="Times New Roman" w:cs="Times New Roman"/>
          <w:color w:val="auto"/>
        </w:rPr>
        <w:instrText xml:space="preserve"> TC"</w:instrText>
      </w:r>
      <w:bookmarkStart w:id="174" w:name="_Toc53806470"/>
      <w:bookmarkStart w:id="175" w:name="_Toc66156062"/>
      <w:bookmarkStart w:id="176" w:name="_Toc76443983"/>
      <w:bookmarkStart w:id="177" w:name="_Toc123887122"/>
      <w:r w:rsidR="00D65ADF" w:rsidRPr="00BA6536">
        <w:rPr>
          <w:rFonts w:eastAsia="Times New Roman" w:cs="Times New Roman"/>
          <w:color w:val="auto"/>
        </w:rPr>
        <w:instrText>B.</w:instrText>
      </w:r>
      <w:r w:rsidR="00D65ADF" w:rsidRPr="00BA6536">
        <w:rPr>
          <w:rFonts w:eastAsia="Times New Roman" w:cs="Times New Roman"/>
          <w:color w:val="auto"/>
        </w:rPr>
        <w:tab/>
        <w:instrText>Governmental Constraints</w:instrText>
      </w:r>
      <w:bookmarkEnd w:id="174"/>
      <w:bookmarkEnd w:id="175"/>
      <w:bookmarkEnd w:id="176"/>
      <w:bookmarkEnd w:id="177"/>
      <w:r w:rsidR="00D65ADF" w:rsidRPr="00BA6536">
        <w:rPr>
          <w:rFonts w:eastAsia="Times New Roman" w:cs="Times New Roman"/>
          <w:color w:val="auto"/>
        </w:rPr>
        <w:instrText xml:space="preserve">"\l 2 </w:instrText>
      </w:r>
      <w:r w:rsidR="00D65ADF" w:rsidRPr="00BA6536">
        <w:rPr>
          <w:rFonts w:eastAsia="Times New Roman" w:cs="Times New Roman"/>
          <w:color w:val="auto"/>
        </w:rPr>
        <w:fldChar w:fldCharType="end"/>
      </w:r>
    </w:p>
    <w:p w14:paraId="394252EF" w14:textId="77777777" w:rsidR="00D65ADF" w:rsidRPr="00BA6536" w:rsidRDefault="00D65ADF" w:rsidP="00D65ADF">
      <w:pPr>
        <w:spacing w:after="0" w:line="280" w:lineRule="atLeast"/>
        <w:jc w:val="both"/>
        <w:rPr>
          <w:rFonts w:eastAsia="Times New Roman" w:cs="Times New Roman"/>
        </w:rPr>
      </w:pPr>
    </w:p>
    <w:p w14:paraId="40747FC1" w14:textId="77777777" w:rsidR="00D65ADF" w:rsidRPr="00BA6536" w:rsidRDefault="002E1FEA" w:rsidP="003D5E81">
      <w:pPr>
        <w:pStyle w:val="Heading3"/>
      </w:pPr>
      <w:bookmarkStart w:id="178" w:name="_Toc383700029"/>
      <w:r>
        <w:t xml:space="preserve">a. </w:t>
      </w:r>
      <w:r w:rsidR="00D65ADF" w:rsidRPr="00BA6536">
        <w:t>LAND USE CONTROLS</w:t>
      </w:r>
      <w:bookmarkEnd w:id="178"/>
      <w:r w:rsidR="00D65ADF" w:rsidRPr="00BA6536">
        <w:fldChar w:fldCharType="begin"/>
      </w:r>
      <w:r w:rsidR="00D65ADF" w:rsidRPr="00BA6536">
        <w:instrText xml:space="preserve"> TC"</w:instrText>
      </w:r>
      <w:bookmarkStart w:id="179" w:name="_Toc53806471"/>
      <w:bookmarkStart w:id="180" w:name="_Toc66156063"/>
      <w:bookmarkStart w:id="181" w:name="_Toc76443984"/>
      <w:bookmarkStart w:id="182" w:name="_Toc123887123"/>
      <w:r w:rsidR="00D65ADF" w:rsidRPr="00BA6536">
        <w:instrText>Land Use Controls</w:instrText>
      </w:r>
      <w:bookmarkEnd w:id="179"/>
      <w:bookmarkEnd w:id="180"/>
      <w:bookmarkEnd w:id="181"/>
      <w:bookmarkEnd w:id="182"/>
      <w:r w:rsidR="00D65ADF" w:rsidRPr="00BA6536">
        <w:instrText xml:space="preserve">"\l 3 </w:instrText>
      </w:r>
      <w:r w:rsidR="00D65ADF" w:rsidRPr="00BA6536">
        <w:fldChar w:fldCharType="end"/>
      </w:r>
    </w:p>
    <w:p w14:paraId="5055DC4A" w14:textId="77777777"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Mono County's Land Use Designations and Land Development Regulations, which are integrated into the Mono County Land Use Element, provide for residential development throughout the unincorporated portion of the County (Table 48). The Land Use Designations contain development standards for each of the land use designations; general standards that pertain to all development are contained in the Land Development Regulations.  The county does not have separate zoning regulations.</w:t>
      </w:r>
    </w:p>
    <w:p w14:paraId="08F0E02C" w14:textId="77777777" w:rsidR="00D65ADF" w:rsidRPr="00BA6536" w:rsidRDefault="00D65ADF" w:rsidP="00D65ADF">
      <w:pPr>
        <w:spacing w:after="0" w:line="280" w:lineRule="atLeast"/>
        <w:jc w:val="both"/>
        <w:rPr>
          <w:rFonts w:eastAsia="Times New Roman" w:cs="Times New Roman"/>
        </w:rPr>
      </w:pPr>
    </w:p>
    <w:p w14:paraId="1BD4B0EF" w14:textId="77777777"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Mono County's land use designations permit single-family residential development, including mobile homes, in almost all designations within developed community areas and in rural areas. Multifamily residential development is permitted in multifamily, mixed use, commercial, and commercial lodging area designations, primarily in developed community areas. The County's Land Use Element, including the Land Development Regulations, does not contain any growth-control measures.</w:t>
      </w:r>
    </w:p>
    <w:p w14:paraId="49947619" w14:textId="77777777" w:rsidR="00D65ADF" w:rsidRPr="00BA6536" w:rsidRDefault="00D65ADF" w:rsidP="00D65ADF">
      <w:pPr>
        <w:spacing w:after="0" w:line="280" w:lineRule="atLeast"/>
        <w:jc w:val="both"/>
        <w:rPr>
          <w:rFonts w:eastAsia="Times New Roman" w:cs="Times New Roman"/>
        </w:rPr>
      </w:pPr>
    </w:p>
    <w:p w14:paraId="5F837C8A" w14:textId="77777777"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Secondary housing units are permitted in several land use designations subject to ministerial review and meeting development requirements in the Land Development Regulations. Mobile homes have been identified as an affordable housing type in Mono County and are permitted as single-family residences in many land use designations throughout the County (Table 48). Mobile-home parks are permitted in a number of designations, subject to a Use Permit and meeting state requirements for mobile-home parks.</w:t>
      </w:r>
    </w:p>
    <w:p w14:paraId="524DA3B5" w14:textId="77777777" w:rsidR="00D65ADF" w:rsidRPr="00BA6536" w:rsidRDefault="00D65ADF" w:rsidP="00D65ADF">
      <w:pPr>
        <w:spacing w:after="0" w:line="280" w:lineRule="atLeast"/>
        <w:jc w:val="both"/>
        <w:rPr>
          <w:rFonts w:eastAsia="Times New Roman" w:cs="Times New Roman"/>
        </w:rPr>
      </w:pPr>
    </w:p>
    <w:p w14:paraId="078E2DF9" w14:textId="77777777" w:rsidR="00D65ADF" w:rsidRPr="00BA6536" w:rsidRDefault="00D65ADF" w:rsidP="00D65ADF">
      <w:pPr>
        <w:spacing w:after="0" w:line="280" w:lineRule="atLeast"/>
        <w:jc w:val="both"/>
        <w:rPr>
          <w:rFonts w:eastAsia="Times New Roman" w:cs="Times New Roman"/>
        </w:rPr>
      </w:pPr>
      <w:r w:rsidRPr="00BA6536">
        <w:rPr>
          <w:rFonts w:eastAsia="Times New Roman" w:cs="Times New Roman"/>
        </w:rPr>
        <w:t>Development of agricultural lands is determined by policies in the Mono County Land Use Element intended to preserve agricultural uses, to protect agricultural uses from the encroachment of incompatible land uses, while allowing for the continuation of agricultural production and the development of limited housing. The minimum parcel size for agricultural land is 2.5 acres but actually varies by area. Minimum parcel sizes and densities are established on the County's land use maps. The minimum parcel size for agricultural lands in the Antelope Valley is 10 acres. Development of agricultural lands in the Bridgeport Valley, the Bodie Hills, and the Hammil Valley is subject to a Transfer of Development Rights program established for each of those areas. Potential development is clustered to preserve agricultural uses. Larger parcel sizes and lower densities on agricultural lands have not been identified as a constraint to development in Mono County because there is sufficient land elsewhere to meet identified needs.</w:t>
      </w:r>
    </w:p>
    <w:p w14:paraId="74866D6A" w14:textId="77777777" w:rsidR="00D65ADF" w:rsidRPr="00BA6536" w:rsidRDefault="00D65ADF" w:rsidP="00D65ADF">
      <w:pPr>
        <w:widowControl w:val="0"/>
        <w:autoSpaceDE w:val="0"/>
        <w:autoSpaceDN w:val="0"/>
        <w:adjustRightInd w:val="0"/>
        <w:spacing w:after="0" w:line="280" w:lineRule="atLeast"/>
        <w:jc w:val="both"/>
        <w:rPr>
          <w:rFonts w:eastAsia="Times New Roman" w:cs="Arial"/>
          <w:lang w:bidi="en-US"/>
        </w:rPr>
      </w:pPr>
    </w:p>
    <w:p w14:paraId="6420720B" w14:textId="77777777" w:rsidR="00F01804" w:rsidRPr="00BA6536" w:rsidRDefault="00F01804" w:rsidP="00F01804">
      <w:pPr>
        <w:spacing w:line="280" w:lineRule="atLeast"/>
        <w:jc w:val="both"/>
        <w:rPr>
          <w:rFonts w:eastAsia="Times New Roman" w:cs="Times New Roman"/>
        </w:rPr>
      </w:pPr>
      <w:r w:rsidRPr="00BA6536">
        <w:rPr>
          <w:rFonts w:eastAsia="Times New Roman" w:cs="Times New Roman"/>
        </w:rPr>
        <w:t xml:space="preserve">Residential development standards for residential land use designations are illustrated in Table </w:t>
      </w:r>
      <w:r w:rsidR="00742BE3" w:rsidRPr="00BA6536">
        <w:rPr>
          <w:rFonts w:eastAsia="Times New Roman" w:cs="Times New Roman"/>
        </w:rPr>
        <w:t xml:space="preserve">30 &amp; 31 </w:t>
      </w:r>
      <w:r w:rsidRPr="00BA6536">
        <w:rPr>
          <w:rFonts w:eastAsia="Times New Roman" w:cs="Times New Roman"/>
        </w:rPr>
        <w:t>Reductions in several standards are allowed in certain situations; e.g., density bonuses are available in multifamily, mixed use, and commercial lodging designations for projects that provide affordable housing and/or enclosed, covered parking (from 15 dwelling units per acre to 26 units per acre). Lot coverage in the mixed use designation may be increased from 60 percent to 70 percent if the development includes residential and commercial uses. Other standards also promote higher-density housing in commercial, mixed use, and commercial lodging designations; e.g., C, MU, and CL designations have a zero side yard setback unless the site abuts a residential district. The maximum building residential building height may be increased from 35 feet to 45 feet if side and rear setbacks are also increased, allowing larger size housing units to meet the needs of large households.</w:t>
      </w:r>
    </w:p>
    <w:p w14:paraId="4BC3F79F" w14:textId="77777777" w:rsidR="00742BE3" w:rsidRPr="00BA6536" w:rsidRDefault="00742BE3" w:rsidP="00742BE3">
      <w:pPr>
        <w:widowControl w:val="0"/>
        <w:autoSpaceDE w:val="0"/>
        <w:autoSpaceDN w:val="0"/>
        <w:adjustRightInd w:val="0"/>
        <w:spacing w:after="0" w:line="280" w:lineRule="atLeast"/>
        <w:jc w:val="both"/>
        <w:rPr>
          <w:rFonts w:eastAsia="Times New Roman" w:cs="Arial"/>
          <w:lang w:bidi="en-US"/>
        </w:rPr>
      </w:pPr>
    </w:p>
    <w:p w14:paraId="37FF709E" w14:textId="77777777" w:rsidR="00742BE3" w:rsidRPr="00BA6536" w:rsidRDefault="00742BE3" w:rsidP="00742BE3">
      <w:pPr>
        <w:shd w:val="clear" w:color="auto" w:fill="CC99FF"/>
        <w:spacing w:line="240" w:lineRule="atLeast"/>
        <w:ind w:right="-720"/>
        <w:jc w:val="both"/>
        <w:rPr>
          <w:rFonts w:ascii="Palatino" w:hAnsi="Palatino"/>
          <w:b/>
          <w:sz w:val="20"/>
        </w:rPr>
      </w:pPr>
      <w:bookmarkStart w:id="183" w:name="OLE_LINK1"/>
      <w:r w:rsidRPr="00BA6536">
        <w:rPr>
          <w:rFonts w:ascii="Palatino" w:hAnsi="Palatino"/>
          <w:b/>
          <w:sz w:val="20"/>
        </w:rPr>
        <w:t>Table 30</w:t>
      </w:r>
      <w:r w:rsidRPr="00BA6536">
        <w:rPr>
          <w:rFonts w:ascii="Palatino" w:hAnsi="Palatino"/>
          <w:b/>
          <w:sz w:val="20"/>
        </w:rPr>
        <w:tab/>
        <w:t>Housing Types Permitted by Land Use Designation</w:t>
      </w:r>
    </w:p>
    <w:p w14:paraId="5D903FC7" w14:textId="77777777" w:rsidR="00742BE3" w:rsidRPr="00BA6536" w:rsidRDefault="00742BE3" w:rsidP="00742BE3">
      <w:pPr>
        <w:shd w:val="clear" w:color="auto" w:fill="CC99FF"/>
        <w:spacing w:line="240" w:lineRule="atLeast"/>
        <w:ind w:right="-720"/>
        <w:jc w:val="both"/>
        <w:rPr>
          <w:rFonts w:ascii="Palatino" w:hAnsi="Palatino"/>
          <w:sz w:val="20"/>
        </w:rPr>
      </w:pPr>
      <w:r w:rsidRPr="00BA6536">
        <w:rPr>
          <w:rFonts w:ascii="Palatino" w:hAnsi="Palatino"/>
          <w:sz w:val="20"/>
        </w:rPr>
        <w:fldChar w:fldCharType="begin"/>
      </w:r>
      <w:r w:rsidRPr="00BA6536">
        <w:rPr>
          <w:rFonts w:ascii="Palatino" w:hAnsi="Palatino"/>
          <w:sz w:val="20"/>
        </w:rPr>
        <w:instrText xml:space="preserve"> TC"</w:instrText>
      </w:r>
      <w:bookmarkStart w:id="184" w:name="_Toc76444435"/>
      <w:bookmarkStart w:id="185" w:name="_Toc106530189"/>
      <w:bookmarkStart w:id="186" w:name="_Toc123887017"/>
      <w:r w:rsidRPr="00BA6536">
        <w:rPr>
          <w:rFonts w:ascii="Palatino" w:hAnsi="Palatino"/>
          <w:sz w:val="20"/>
        </w:rPr>
        <w:instrText>Table 48 A</w:instrText>
      </w:r>
      <w:r w:rsidRPr="00BA6536">
        <w:rPr>
          <w:rFonts w:ascii="Palatino" w:hAnsi="Palatino"/>
          <w:sz w:val="20"/>
        </w:rPr>
        <w:tab/>
        <w:instrText>Housing Types Permitted by Land Use Designation</w:instrText>
      </w:r>
      <w:bookmarkEnd w:id="184"/>
      <w:bookmarkEnd w:id="185"/>
      <w:bookmarkEnd w:id="186"/>
      <w:r w:rsidRPr="00BA6536">
        <w:rPr>
          <w:rFonts w:ascii="Palatino" w:hAnsi="Palatino"/>
          <w:sz w:val="20"/>
        </w:rPr>
        <w:instrText xml:space="preserve">"\f t </w:instrText>
      </w:r>
      <w:r w:rsidRPr="00BA6536">
        <w:rPr>
          <w:rFonts w:ascii="Palatino" w:hAnsi="Palatino"/>
          <w:sz w:val="20"/>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720"/>
        <w:gridCol w:w="630"/>
        <w:gridCol w:w="720"/>
        <w:gridCol w:w="630"/>
        <w:gridCol w:w="990"/>
        <w:gridCol w:w="990"/>
        <w:gridCol w:w="990"/>
        <w:gridCol w:w="630"/>
        <w:gridCol w:w="810"/>
        <w:gridCol w:w="810"/>
        <w:gridCol w:w="630"/>
        <w:gridCol w:w="630"/>
        <w:gridCol w:w="630"/>
        <w:gridCol w:w="630"/>
        <w:gridCol w:w="630"/>
        <w:gridCol w:w="630"/>
        <w:gridCol w:w="720"/>
        <w:gridCol w:w="630"/>
        <w:gridCol w:w="720"/>
        <w:gridCol w:w="810"/>
      </w:tblGrid>
      <w:tr w:rsidR="00742BE3" w:rsidRPr="00BA6536" w14:paraId="59493362" w14:textId="77777777" w:rsidTr="00742BE3">
        <w:trPr>
          <w:trHeight w:val="320"/>
        </w:trPr>
        <w:tc>
          <w:tcPr>
            <w:tcW w:w="2700" w:type="dxa"/>
            <w:shd w:val="clear" w:color="auto" w:fill="E6E6E6"/>
          </w:tcPr>
          <w:p w14:paraId="01EBA218" w14:textId="77777777" w:rsidR="00742BE3" w:rsidRPr="00BA6536" w:rsidRDefault="00742BE3" w:rsidP="00742BE3">
            <w:pPr>
              <w:spacing w:line="240" w:lineRule="atLeast"/>
              <w:rPr>
                <w:rFonts w:ascii="Palatino" w:hAnsi="Palatino"/>
                <w:sz w:val="16"/>
              </w:rPr>
            </w:pPr>
            <w:r w:rsidRPr="00BA6536">
              <w:rPr>
                <w:rFonts w:ascii="Palatino" w:hAnsi="Palatino"/>
                <w:sz w:val="16"/>
              </w:rPr>
              <w:t>Housing Types Permitted</w:t>
            </w:r>
          </w:p>
        </w:tc>
        <w:tc>
          <w:tcPr>
            <w:tcW w:w="720" w:type="dxa"/>
            <w:shd w:val="clear" w:color="auto" w:fill="E6E6E6"/>
          </w:tcPr>
          <w:p w14:paraId="47B61C4E"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RR</w:t>
            </w:r>
          </w:p>
        </w:tc>
        <w:tc>
          <w:tcPr>
            <w:tcW w:w="630" w:type="dxa"/>
            <w:shd w:val="clear" w:color="auto" w:fill="E6E6E6"/>
          </w:tcPr>
          <w:p w14:paraId="3068AEE9"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ER</w:t>
            </w:r>
          </w:p>
        </w:tc>
        <w:tc>
          <w:tcPr>
            <w:tcW w:w="720" w:type="dxa"/>
            <w:shd w:val="clear" w:color="auto" w:fill="E6E6E6"/>
          </w:tcPr>
          <w:p w14:paraId="3B0AF191"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RMH</w:t>
            </w:r>
          </w:p>
        </w:tc>
        <w:tc>
          <w:tcPr>
            <w:tcW w:w="630" w:type="dxa"/>
            <w:shd w:val="clear" w:color="auto" w:fill="E6E6E6"/>
          </w:tcPr>
          <w:p w14:paraId="2DE2281C"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SFR</w:t>
            </w:r>
          </w:p>
        </w:tc>
        <w:tc>
          <w:tcPr>
            <w:tcW w:w="990" w:type="dxa"/>
            <w:shd w:val="clear" w:color="auto" w:fill="E6E6E6"/>
          </w:tcPr>
          <w:p w14:paraId="58298B3E"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MFR-L</w:t>
            </w:r>
          </w:p>
        </w:tc>
        <w:tc>
          <w:tcPr>
            <w:tcW w:w="990" w:type="dxa"/>
            <w:shd w:val="clear" w:color="auto" w:fill="E6E6E6"/>
          </w:tcPr>
          <w:p w14:paraId="4CCFB7E4"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MFR-M</w:t>
            </w:r>
          </w:p>
        </w:tc>
        <w:tc>
          <w:tcPr>
            <w:tcW w:w="990" w:type="dxa"/>
            <w:shd w:val="clear" w:color="auto" w:fill="E6E6E6"/>
          </w:tcPr>
          <w:p w14:paraId="57CE9505"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MFR-H</w:t>
            </w:r>
          </w:p>
        </w:tc>
        <w:tc>
          <w:tcPr>
            <w:tcW w:w="630" w:type="dxa"/>
            <w:shd w:val="clear" w:color="auto" w:fill="E6E6E6"/>
          </w:tcPr>
          <w:p w14:paraId="2B37CFF0"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MU</w:t>
            </w:r>
          </w:p>
        </w:tc>
        <w:tc>
          <w:tcPr>
            <w:tcW w:w="810" w:type="dxa"/>
            <w:shd w:val="clear" w:color="auto" w:fill="E6E6E6"/>
          </w:tcPr>
          <w:p w14:paraId="1730EBFA"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CL-M</w:t>
            </w:r>
          </w:p>
        </w:tc>
        <w:tc>
          <w:tcPr>
            <w:tcW w:w="810" w:type="dxa"/>
            <w:shd w:val="clear" w:color="auto" w:fill="E6E6E6"/>
          </w:tcPr>
          <w:p w14:paraId="4AD99BBA"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CL-H</w:t>
            </w:r>
          </w:p>
        </w:tc>
        <w:tc>
          <w:tcPr>
            <w:tcW w:w="630" w:type="dxa"/>
            <w:shd w:val="clear" w:color="auto" w:fill="E6E6E6"/>
          </w:tcPr>
          <w:p w14:paraId="19381A78"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RU</w:t>
            </w:r>
          </w:p>
        </w:tc>
        <w:tc>
          <w:tcPr>
            <w:tcW w:w="630" w:type="dxa"/>
            <w:shd w:val="clear" w:color="auto" w:fill="E6E6E6"/>
          </w:tcPr>
          <w:p w14:paraId="185C36A7"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C</w:t>
            </w:r>
          </w:p>
        </w:tc>
        <w:tc>
          <w:tcPr>
            <w:tcW w:w="630" w:type="dxa"/>
            <w:shd w:val="clear" w:color="auto" w:fill="E6E6E6"/>
          </w:tcPr>
          <w:p w14:paraId="24A95BF8"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SC</w:t>
            </w:r>
          </w:p>
        </w:tc>
        <w:tc>
          <w:tcPr>
            <w:tcW w:w="630" w:type="dxa"/>
            <w:shd w:val="clear" w:color="auto" w:fill="E6E6E6"/>
          </w:tcPr>
          <w:p w14:paraId="1039EE85"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PF</w:t>
            </w:r>
          </w:p>
        </w:tc>
        <w:tc>
          <w:tcPr>
            <w:tcW w:w="630" w:type="dxa"/>
            <w:shd w:val="clear" w:color="auto" w:fill="E6E6E6"/>
          </w:tcPr>
          <w:p w14:paraId="19802B5A"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RM</w:t>
            </w:r>
          </w:p>
        </w:tc>
        <w:tc>
          <w:tcPr>
            <w:tcW w:w="630" w:type="dxa"/>
            <w:shd w:val="clear" w:color="auto" w:fill="E6E6E6"/>
          </w:tcPr>
          <w:p w14:paraId="650BD6A9"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AG</w:t>
            </w:r>
          </w:p>
        </w:tc>
        <w:tc>
          <w:tcPr>
            <w:tcW w:w="720" w:type="dxa"/>
            <w:shd w:val="clear" w:color="auto" w:fill="E6E6E6"/>
          </w:tcPr>
          <w:p w14:paraId="12370FBA"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SAA</w:t>
            </w:r>
          </w:p>
        </w:tc>
        <w:tc>
          <w:tcPr>
            <w:tcW w:w="630" w:type="dxa"/>
            <w:shd w:val="clear" w:color="auto" w:fill="E6E6E6"/>
          </w:tcPr>
          <w:p w14:paraId="65630F7C"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OS</w:t>
            </w:r>
          </w:p>
        </w:tc>
        <w:tc>
          <w:tcPr>
            <w:tcW w:w="720" w:type="dxa"/>
            <w:shd w:val="clear" w:color="auto" w:fill="E6E6E6"/>
          </w:tcPr>
          <w:p w14:paraId="2455FBBD"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NHP</w:t>
            </w:r>
          </w:p>
        </w:tc>
        <w:tc>
          <w:tcPr>
            <w:tcW w:w="810" w:type="dxa"/>
            <w:shd w:val="clear" w:color="auto" w:fill="E6E6E6"/>
          </w:tcPr>
          <w:p w14:paraId="11A74686"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RE</w:t>
            </w:r>
          </w:p>
        </w:tc>
      </w:tr>
      <w:tr w:rsidR="00742BE3" w:rsidRPr="00BA6536" w14:paraId="163D9042" w14:textId="77777777" w:rsidTr="00742BE3">
        <w:trPr>
          <w:trHeight w:val="320"/>
        </w:trPr>
        <w:tc>
          <w:tcPr>
            <w:tcW w:w="2700" w:type="dxa"/>
          </w:tcPr>
          <w:p w14:paraId="684512FC" w14:textId="77777777" w:rsidR="00742BE3" w:rsidRPr="00BA6536" w:rsidRDefault="00742BE3" w:rsidP="00742BE3">
            <w:pPr>
              <w:spacing w:line="240" w:lineRule="atLeast"/>
              <w:rPr>
                <w:rFonts w:ascii="Palatino" w:hAnsi="Palatino"/>
                <w:sz w:val="16"/>
              </w:rPr>
            </w:pPr>
            <w:r w:rsidRPr="00BA6536">
              <w:rPr>
                <w:rFonts w:ascii="Palatino" w:hAnsi="Palatino"/>
                <w:sz w:val="16"/>
              </w:rPr>
              <w:t>Single-family dwelling</w:t>
            </w:r>
          </w:p>
        </w:tc>
        <w:tc>
          <w:tcPr>
            <w:tcW w:w="720" w:type="dxa"/>
          </w:tcPr>
          <w:p w14:paraId="3CF64C5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4FDAF2E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14:paraId="1DA47CB4"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4A50CC7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14:paraId="18C20C7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14:paraId="6763F88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14:paraId="01425D1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69F8F89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14:paraId="0F669C05"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14:paraId="6E7C29DB"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2C5E9FA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4520D06B"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P***</w:t>
            </w:r>
          </w:p>
        </w:tc>
        <w:tc>
          <w:tcPr>
            <w:tcW w:w="630" w:type="dxa"/>
          </w:tcPr>
          <w:p w14:paraId="16E87C87"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P***</w:t>
            </w:r>
          </w:p>
        </w:tc>
        <w:tc>
          <w:tcPr>
            <w:tcW w:w="630" w:type="dxa"/>
          </w:tcPr>
          <w:p w14:paraId="6FFE10D8"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00D92B74"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2664B3B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14:paraId="004F64A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00D417B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14:paraId="639FAC67"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14:paraId="7FA5C9D9"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06BBF595" w14:textId="77777777" w:rsidTr="00742BE3">
        <w:trPr>
          <w:trHeight w:val="320"/>
        </w:trPr>
        <w:tc>
          <w:tcPr>
            <w:tcW w:w="2700" w:type="dxa"/>
          </w:tcPr>
          <w:p w14:paraId="52D3E25B" w14:textId="77777777" w:rsidR="00742BE3" w:rsidRPr="00BA6536" w:rsidRDefault="00742BE3" w:rsidP="00742BE3">
            <w:pPr>
              <w:spacing w:line="240" w:lineRule="atLeast"/>
              <w:rPr>
                <w:rFonts w:ascii="Palatino" w:hAnsi="Palatino"/>
                <w:sz w:val="16"/>
              </w:rPr>
            </w:pPr>
            <w:r w:rsidRPr="00BA6536">
              <w:rPr>
                <w:rFonts w:ascii="Palatino" w:hAnsi="Palatino"/>
                <w:sz w:val="16"/>
              </w:rPr>
              <w:t>Mobile home</w:t>
            </w:r>
          </w:p>
        </w:tc>
        <w:tc>
          <w:tcPr>
            <w:tcW w:w="720" w:type="dxa"/>
          </w:tcPr>
          <w:p w14:paraId="259FA79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78EDCA6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14:paraId="557A1314"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473ABB4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14:paraId="3330A5C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14:paraId="6C53D81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14:paraId="67950726"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630" w:type="dxa"/>
          </w:tcPr>
          <w:p w14:paraId="5B402A20"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14:paraId="479CE7FD"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697CB0FF"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F9F098A"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433DEA58" w14:textId="77777777" w:rsidR="00742BE3" w:rsidRPr="00BA6536" w:rsidRDefault="00742BE3" w:rsidP="00742BE3">
            <w:pPr>
              <w:spacing w:line="240" w:lineRule="atLeast"/>
              <w:jc w:val="center"/>
              <w:rPr>
                <w:rFonts w:ascii="Palatino" w:hAnsi="Palatino"/>
                <w:sz w:val="16"/>
              </w:rPr>
            </w:pPr>
          </w:p>
        </w:tc>
        <w:tc>
          <w:tcPr>
            <w:tcW w:w="630" w:type="dxa"/>
          </w:tcPr>
          <w:p w14:paraId="39540B82" w14:textId="77777777" w:rsidR="00742BE3" w:rsidRPr="00BA6536" w:rsidRDefault="00742BE3" w:rsidP="00742BE3">
            <w:pPr>
              <w:spacing w:line="240" w:lineRule="atLeast"/>
              <w:jc w:val="center"/>
              <w:rPr>
                <w:rFonts w:ascii="Palatino" w:hAnsi="Palatino"/>
                <w:sz w:val="16"/>
              </w:rPr>
            </w:pPr>
          </w:p>
        </w:tc>
        <w:tc>
          <w:tcPr>
            <w:tcW w:w="630" w:type="dxa"/>
          </w:tcPr>
          <w:p w14:paraId="684A5663"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06E0FDD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0076EDD6"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14:paraId="6D8EDE37"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1CEFDC05"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38D86A62"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6175FEC7"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20A8940F" w14:textId="77777777" w:rsidTr="00742BE3">
        <w:trPr>
          <w:trHeight w:val="320"/>
        </w:trPr>
        <w:tc>
          <w:tcPr>
            <w:tcW w:w="2700" w:type="dxa"/>
          </w:tcPr>
          <w:p w14:paraId="73C90E12" w14:textId="77777777" w:rsidR="00742BE3" w:rsidRPr="00BA6536" w:rsidRDefault="00742BE3" w:rsidP="00742BE3">
            <w:pPr>
              <w:spacing w:line="240" w:lineRule="atLeast"/>
              <w:rPr>
                <w:rFonts w:ascii="Palatino" w:hAnsi="Palatino"/>
                <w:sz w:val="16"/>
              </w:rPr>
            </w:pPr>
            <w:r w:rsidRPr="00BA6536">
              <w:rPr>
                <w:rFonts w:ascii="Palatino" w:hAnsi="Palatino"/>
                <w:sz w:val="16"/>
              </w:rPr>
              <w:t>Secondary unit</w:t>
            </w:r>
          </w:p>
        </w:tc>
        <w:tc>
          <w:tcPr>
            <w:tcW w:w="720" w:type="dxa"/>
          </w:tcPr>
          <w:p w14:paraId="032DCA8B"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630" w:type="dxa"/>
          </w:tcPr>
          <w:p w14:paraId="0EBFEFAB"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720" w:type="dxa"/>
          </w:tcPr>
          <w:p w14:paraId="745A3D4D"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630" w:type="dxa"/>
          </w:tcPr>
          <w:p w14:paraId="44EE9D12"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990" w:type="dxa"/>
          </w:tcPr>
          <w:p w14:paraId="110C9D2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14:paraId="2BF66E76"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14:paraId="27F877AA"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630" w:type="dxa"/>
          </w:tcPr>
          <w:p w14:paraId="02138396"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41ABC844"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762EAA13"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773F95C8"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630" w:type="dxa"/>
          </w:tcPr>
          <w:p w14:paraId="5D6215A9" w14:textId="77777777" w:rsidR="00742BE3" w:rsidRPr="00BA6536" w:rsidRDefault="00742BE3" w:rsidP="00742BE3">
            <w:pPr>
              <w:spacing w:line="240" w:lineRule="atLeast"/>
              <w:jc w:val="center"/>
              <w:rPr>
                <w:rFonts w:ascii="Palatino" w:hAnsi="Palatino"/>
                <w:sz w:val="16"/>
              </w:rPr>
            </w:pPr>
          </w:p>
        </w:tc>
        <w:tc>
          <w:tcPr>
            <w:tcW w:w="630" w:type="dxa"/>
          </w:tcPr>
          <w:p w14:paraId="16E5E5EA" w14:textId="77777777" w:rsidR="00742BE3" w:rsidRPr="00BA6536" w:rsidRDefault="00742BE3" w:rsidP="00742BE3">
            <w:pPr>
              <w:spacing w:line="240" w:lineRule="atLeast"/>
              <w:jc w:val="center"/>
              <w:rPr>
                <w:rFonts w:ascii="Palatino" w:hAnsi="Palatino"/>
                <w:sz w:val="16"/>
              </w:rPr>
            </w:pPr>
          </w:p>
        </w:tc>
        <w:tc>
          <w:tcPr>
            <w:tcW w:w="630" w:type="dxa"/>
          </w:tcPr>
          <w:p w14:paraId="0CB1FC9B"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23347B6F"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630" w:type="dxa"/>
          </w:tcPr>
          <w:p w14:paraId="2F7022D9"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Pr="00BA6536">
              <w:rPr>
                <w:rFonts w:ascii="Book Antiqua" w:hAnsi="Book Antiqua"/>
                <w:sz w:val="16"/>
              </w:rPr>
              <w:t>¹</w:t>
            </w:r>
          </w:p>
        </w:tc>
        <w:tc>
          <w:tcPr>
            <w:tcW w:w="720" w:type="dxa"/>
          </w:tcPr>
          <w:p w14:paraId="7BF5AA48"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r w:rsidR="00742BE3" w:rsidRPr="00BA6536">
              <w:rPr>
                <w:rFonts w:ascii="Palatino" w:hAnsi="Palatino"/>
                <w:sz w:val="16"/>
              </w:rPr>
              <w:t>****</w:t>
            </w:r>
          </w:p>
        </w:tc>
        <w:tc>
          <w:tcPr>
            <w:tcW w:w="630" w:type="dxa"/>
          </w:tcPr>
          <w:p w14:paraId="1A9288FD"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029E1D11"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06CDCFC6"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26754763" w14:textId="77777777" w:rsidTr="00742BE3">
        <w:trPr>
          <w:trHeight w:val="320"/>
        </w:trPr>
        <w:tc>
          <w:tcPr>
            <w:tcW w:w="2700" w:type="dxa"/>
          </w:tcPr>
          <w:p w14:paraId="7E44C599" w14:textId="77777777" w:rsidR="00742BE3" w:rsidRPr="00BA6536" w:rsidRDefault="00742BE3" w:rsidP="00742BE3">
            <w:pPr>
              <w:spacing w:line="240" w:lineRule="atLeast"/>
              <w:rPr>
                <w:rFonts w:ascii="Palatino" w:hAnsi="Palatino"/>
                <w:sz w:val="16"/>
              </w:rPr>
            </w:pPr>
            <w:r w:rsidRPr="00BA6536">
              <w:rPr>
                <w:rFonts w:ascii="Palatino" w:hAnsi="Palatino"/>
                <w:sz w:val="16"/>
              </w:rPr>
              <w:t>Mobile-home park</w:t>
            </w:r>
          </w:p>
        </w:tc>
        <w:tc>
          <w:tcPr>
            <w:tcW w:w="720" w:type="dxa"/>
          </w:tcPr>
          <w:p w14:paraId="2F5D7E7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30C8C76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720" w:type="dxa"/>
          </w:tcPr>
          <w:p w14:paraId="2195F0FE"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104AF374"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990" w:type="dxa"/>
          </w:tcPr>
          <w:p w14:paraId="266A5EF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14:paraId="59C9070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14:paraId="1020BD8B"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531430F9"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14:paraId="48A7922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14:paraId="5F9DD560"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450FB877"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072478FD" w14:textId="77777777" w:rsidR="00742BE3" w:rsidRPr="00BA6536" w:rsidRDefault="00742BE3" w:rsidP="00742BE3">
            <w:pPr>
              <w:spacing w:line="240" w:lineRule="atLeast"/>
              <w:jc w:val="center"/>
              <w:rPr>
                <w:rFonts w:ascii="Palatino" w:hAnsi="Palatino"/>
                <w:sz w:val="16"/>
              </w:rPr>
            </w:pPr>
          </w:p>
        </w:tc>
        <w:tc>
          <w:tcPr>
            <w:tcW w:w="630" w:type="dxa"/>
          </w:tcPr>
          <w:p w14:paraId="1D422787" w14:textId="77777777" w:rsidR="00742BE3" w:rsidRPr="00BA6536" w:rsidRDefault="00742BE3" w:rsidP="00742BE3">
            <w:pPr>
              <w:spacing w:line="240" w:lineRule="atLeast"/>
              <w:jc w:val="center"/>
              <w:rPr>
                <w:rFonts w:ascii="Palatino" w:hAnsi="Palatino"/>
                <w:sz w:val="16"/>
              </w:rPr>
            </w:pPr>
          </w:p>
        </w:tc>
        <w:tc>
          <w:tcPr>
            <w:tcW w:w="630" w:type="dxa"/>
          </w:tcPr>
          <w:p w14:paraId="0DF32091"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33508D5"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4A0A905"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02811643"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2D3FBBF8"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011AD258"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7D043BC1"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37C4EE99" w14:textId="77777777" w:rsidTr="00742BE3">
        <w:trPr>
          <w:trHeight w:val="320"/>
        </w:trPr>
        <w:tc>
          <w:tcPr>
            <w:tcW w:w="2700" w:type="dxa"/>
          </w:tcPr>
          <w:p w14:paraId="7C40721C" w14:textId="77777777" w:rsidR="00742BE3" w:rsidRPr="00BA6536" w:rsidRDefault="00742BE3" w:rsidP="00742BE3">
            <w:pPr>
              <w:spacing w:line="240" w:lineRule="atLeast"/>
              <w:rPr>
                <w:rFonts w:ascii="Palatino" w:hAnsi="Palatino"/>
                <w:sz w:val="16"/>
              </w:rPr>
            </w:pPr>
            <w:r w:rsidRPr="00BA6536">
              <w:rPr>
                <w:rFonts w:ascii="Palatino" w:hAnsi="Palatino"/>
                <w:sz w:val="16"/>
              </w:rPr>
              <w:t>Duplexes and triplexes</w:t>
            </w:r>
          </w:p>
        </w:tc>
        <w:tc>
          <w:tcPr>
            <w:tcW w:w="720" w:type="dxa"/>
          </w:tcPr>
          <w:p w14:paraId="4F669182"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2CE91373"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049BF9D9"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ECCAFDA"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3D833CF9"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14:paraId="6EC7032E"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990" w:type="dxa"/>
          </w:tcPr>
          <w:p w14:paraId="63D1FD09"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09E52FE5"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14:paraId="386B0DB4"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810" w:type="dxa"/>
          </w:tcPr>
          <w:p w14:paraId="7DF97DF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67635DAD"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A0D9EF8"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P***</w:t>
            </w:r>
          </w:p>
        </w:tc>
        <w:tc>
          <w:tcPr>
            <w:tcW w:w="630" w:type="dxa"/>
          </w:tcPr>
          <w:p w14:paraId="27988A3B"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P***</w:t>
            </w:r>
          </w:p>
        </w:tc>
        <w:tc>
          <w:tcPr>
            <w:tcW w:w="630" w:type="dxa"/>
          </w:tcPr>
          <w:p w14:paraId="21FBAFC2"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F927367"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0620CA9"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0C8C8BDC"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06DE2FF2"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14E21329"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4005C0DF"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39F30378" w14:textId="77777777" w:rsidTr="00742BE3">
        <w:trPr>
          <w:trHeight w:val="320"/>
        </w:trPr>
        <w:tc>
          <w:tcPr>
            <w:tcW w:w="2700" w:type="dxa"/>
          </w:tcPr>
          <w:p w14:paraId="19023748" w14:textId="77777777" w:rsidR="00742BE3" w:rsidRPr="00BA6536" w:rsidRDefault="00742BE3" w:rsidP="00742BE3">
            <w:pPr>
              <w:spacing w:line="240" w:lineRule="atLeast"/>
              <w:rPr>
                <w:rFonts w:ascii="Palatino" w:hAnsi="Palatino"/>
                <w:sz w:val="16"/>
              </w:rPr>
            </w:pPr>
            <w:r w:rsidRPr="00BA6536">
              <w:rPr>
                <w:rFonts w:ascii="Palatino" w:hAnsi="Palatino"/>
                <w:sz w:val="16"/>
              </w:rPr>
              <w:t>Condominiums, townhomes, apartments with 4+ units</w:t>
            </w:r>
          </w:p>
        </w:tc>
        <w:tc>
          <w:tcPr>
            <w:tcW w:w="720" w:type="dxa"/>
          </w:tcPr>
          <w:p w14:paraId="050F7484"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CF597A3"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34C71E15"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55D9EB9C"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2430B3AA"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990" w:type="dxa"/>
          </w:tcPr>
          <w:p w14:paraId="7B693B20"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990" w:type="dxa"/>
          </w:tcPr>
          <w:p w14:paraId="0F0E279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2D10EA1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810" w:type="dxa"/>
          </w:tcPr>
          <w:p w14:paraId="7CF0B32A"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14:paraId="39165169"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283E0C6D"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F6F7EEC"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UP***</w:t>
            </w:r>
          </w:p>
        </w:tc>
        <w:tc>
          <w:tcPr>
            <w:tcW w:w="630" w:type="dxa"/>
          </w:tcPr>
          <w:p w14:paraId="23650EF5"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UP***</w:t>
            </w:r>
          </w:p>
        </w:tc>
        <w:tc>
          <w:tcPr>
            <w:tcW w:w="630" w:type="dxa"/>
          </w:tcPr>
          <w:p w14:paraId="76FBA424"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2ED502CC"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CD9208E"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70C2B642"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78D6F789"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69E342D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14:paraId="4E875C76"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4EB15755" w14:textId="77777777" w:rsidTr="00742BE3">
        <w:trPr>
          <w:trHeight w:val="320"/>
        </w:trPr>
        <w:tc>
          <w:tcPr>
            <w:tcW w:w="2700" w:type="dxa"/>
          </w:tcPr>
          <w:p w14:paraId="3AD8DBF3" w14:textId="77777777" w:rsidR="00742BE3" w:rsidRPr="00BA6536" w:rsidRDefault="00742BE3" w:rsidP="00742BE3">
            <w:pPr>
              <w:spacing w:line="240" w:lineRule="atLeast"/>
              <w:rPr>
                <w:rFonts w:ascii="Palatino" w:hAnsi="Palatino"/>
                <w:sz w:val="16"/>
              </w:rPr>
            </w:pPr>
            <w:r w:rsidRPr="00BA6536">
              <w:rPr>
                <w:rFonts w:ascii="Palatino" w:hAnsi="Palatino"/>
                <w:sz w:val="16"/>
              </w:rPr>
              <w:t>Social care facilities</w:t>
            </w:r>
          </w:p>
        </w:tc>
        <w:tc>
          <w:tcPr>
            <w:tcW w:w="720" w:type="dxa"/>
          </w:tcPr>
          <w:p w14:paraId="2C7ACC73"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7E022314"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3308A529"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DB4E923"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5060DC59"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2EF22D42"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1BBEF82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0843767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810" w:type="dxa"/>
          </w:tcPr>
          <w:p w14:paraId="1F2596B1"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0012D2C1"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D2BF068"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9B2ABC3" w14:textId="77777777" w:rsidR="00742BE3" w:rsidRPr="00BA6536" w:rsidRDefault="00742BE3" w:rsidP="00742BE3">
            <w:pPr>
              <w:spacing w:line="240" w:lineRule="atLeast"/>
              <w:jc w:val="center"/>
              <w:rPr>
                <w:rFonts w:ascii="Palatino" w:hAnsi="Palatino"/>
                <w:sz w:val="16"/>
              </w:rPr>
            </w:pPr>
          </w:p>
        </w:tc>
        <w:tc>
          <w:tcPr>
            <w:tcW w:w="630" w:type="dxa"/>
          </w:tcPr>
          <w:p w14:paraId="66742131" w14:textId="77777777" w:rsidR="00742BE3" w:rsidRPr="00BA6536" w:rsidRDefault="00742BE3" w:rsidP="00742BE3">
            <w:pPr>
              <w:spacing w:line="240" w:lineRule="atLeast"/>
              <w:jc w:val="center"/>
              <w:rPr>
                <w:rFonts w:ascii="Palatino" w:hAnsi="Palatino"/>
                <w:sz w:val="16"/>
              </w:rPr>
            </w:pPr>
          </w:p>
        </w:tc>
        <w:tc>
          <w:tcPr>
            <w:tcW w:w="630" w:type="dxa"/>
          </w:tcPr>
          <w:p w14:paraId="102A4E56"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20C048C"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2173763"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2FB4CA93"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5CC3BAC"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471A2042"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50545799"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314AFD36" w14:textId="77777777" w:rsidTr="00742BE3">
        <w:trPr>
          <w:trHeight w:val="320"/>
        </w:trPr>
        <w:tc>
          <w:tcPr>
            <w:tcW w:w="2700" w:type="dxa"/>
          </w:tcPr>
          <w:p w14:paraId="04702E0D" w14:textId="77777777" w:rsidR="00742BE3" w:rsidRPr="00BA6536" w:rsidRDefault="00742BE3" w:rsidP="00742BE3">
            <w:pPr>
              <w:spacing w:line="240" w:lineRule="atLeast"/>
              <w:rPr>
                <w:rFonts w:ascii="Palatino" w:hAnsi="Palatino"/>
                <w:sz w:val="16"/>
              </w:rPr>
            </w:pPr>
            <w:r w:rsidRPr="00BA6536">
              <w:rPr>
                <w:rFonts w:ascii="Palatino" w:hAnsi="Palatino"/>
                <w:sz w:val="16"/>
              </w:rPr>
              <w:t>Transient rentals (less than 30 consecutive days) of 4+ units</w:t>
            </w:r>
          </w:p>
        </w:tc>
        <w:tc>
          <w:tcPr>
            <w:tcW w:w="720" w:type="dxa"/>
          </w:tcPr>
          <w:p w14:paraId="5EA357DA"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OD</w:t>
            </w:r>
          </w:p>
        </w:tc>
        <w:tc>
          <w:tcPr>
            <w:tcW w:w="630" w:type="dxa"/>
          </w:tcPr>
          <w:p w14:paraId="3B6E29B3"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OD</w:t>
            </w:r>
          </w:p>
        </w:tc>
        <w:tc>
          <w:tcPr>
            <w:tcW w:w="720" w:type="dxa"/>
          </w:tcPr>
          <w:p w14:paraId="0C429A43"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OD</w:t>
            </w:r>
          </w:p>
        </w:tc>
        <w:tc>
          <w:tcPr>
            <w:tcW w:w="630" w:type="dxa"/>
          </w:tcPr>
          <w:p w14:paraId="7224B4D5"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OD</w:t>
            </w:r>
          </w:p>
        </w:tc>
        <w:tc>
          <w:tcPr>
            <w:tcW w:w="990" w:type="dxa"/>
          </w:tcPr>
          <w:p w14:paraId="053A4DF0"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28CC9BB9"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4C7ED02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3803B6F1"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018E086E"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14:paraId="40E62560"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58349D4E"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75839EF0" w14:textId="77777777" w:rsidR="00742BE3" w:rsidRPr="00BA6536" w:rsidRDefault="00742BE3" w:rsidP="00742BE3">
            <w:pPr>
              <w:spacing w:line="240" w:lineRule="atLeast"/>
              <w:jc w:val="center"/>
              <w:rPr>
                <w:rFonts w:ascii="Palatino" w:hAnsi="Palatino"/>
                <w:sz w:val="16"/>
              </w:rPr>
            </w:pPr>
          </w:p>
        </w:tc>
        <w:tc>
          <w:tcPr>
            <w:tcW w:w="630" w:type="dxa"/>
          </w:tcPr>
          <w:p w14:paraId="557542B7" w14:textId="77777777" w:rsidR="00742BE3" w:rsidRPr="00BA6536" w:rsidRDefault="00742BE3" w:rsidP="00742BE3">
            <w:pPr>
              <w:spacing w:line="240" w:lineRule="atLeast"/>
              <w:jc w:val="center"/>
              <w:rPr>
                <w:rFonts w:ascii="Palatino" w:hAnsi="Palatino"/>
                <w:sz w:val="16"/>
              </w:rPr>
            </w:pPr>
          </w:p>
        </w:tc>
        <w:tc>
          <w:tcPr>
            <w:tcW w:w="630" w:type="dxa"/>
          </w:tcPr>
          <w:p w14:paraId="0E8D451E"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5CA1532F" w14:textId="77777777" w:rsidR="00742BE3" w:rsidRPr="00BA6536" w:rsidRDefault="00AC2BB8"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34011043"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27D99A2E"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1FCA742"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34A972E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810" w:type="dxa"/>
          </w:tcPr>
          <w:p w14:paraId="63AAFA23"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7A6E541C" w14:textId="77777777" w:rsidTr="00742BE3">
        <w:trPr>
          <w:trHeight w:val="320"/>
        </w:trPr>
        <w:tc>
          <w:tcPr>
            <w:tcW w:w="2700" w:type="dxa"/>
          </w:tcPr>
          <w:p w14:paraId="24E0DB0F" w14:textId="77777777" w:rsidR="00742BE3" w:rsidRPr="00BA6536" w:rsidRDefault="00742BE3" w:rsidP="00742BE3">
            <w:pPr>
              <w:spacing w:line="240" w:lineRule="atLeast"/>
              <w:rPr>
                <w:rFonts w:ascii="Palatino" w:hAnsi="Palatino"/>
                <w:sz w:val="16"/>
              </w:rPr>
            </w:pPr>
            <w:r w:rsidRPr="00BA6536">
              <w:rPr>
                <w:rFonts w:ascii="Palatino" w:hAnsi="Palatino"/>
                <w:sz w:val="16"/>
              </w:rPr>
              <w:t>Conversion of 5 or more apartment units into transient rentals</w:t>
            </w:r>
          </w:p>
        </w:tc>
        <w:tc>
          <w:tcPr>
            <w:tcW w:w="720" w:type="dxa"/>
          </w:tcPr>
          <w:p w14:paraId="61408B24"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0426C2DE"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5E0E6982"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9F2762B"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15AC3693"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0AB66EE9"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13C99B64"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85B0E64"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1843DB9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810" w:type="dxa"/>
          </w:tcPr>
          <w:p w14:paraId="7E4CBBD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60D04FCC"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29233A1" w14:textId="77777777" w:rsidR="00742BE3" w:rsidRPr="00BA6536" w:rsidRDefault="00742BE3" w:rsidP="00742BE3">
            <w:pPr>
              <w:spacing w:line="240" w:lineRule="atLeast"/>
              <w:jc w:val="center"/>
              <w:rPr>
                <w:rFonts w:ascii="Palatino" w:hAnsi="Palatino"/>
                <w:sz w:val="16"/>
              </w:rPr>
            </w:pPr>
          </w:p>
        </w:tc>
        <w:tc>
          <w:tcPr>
            <w:tcW w:w="630" w:type="dxa"/>
          </w:tcPr>
          <w:p w14:paraId="2DD37E42" w14:textId="77777777" w:rsidR="00742BE3" w:rsidRPr="00BA6536" w:rsidRDefault="00742BE3" w:rsidP="00742BE3">
            <w:pPr>
              <w:spacing w:line="240" w:lineRule="atLeast"/>
              <w:jc w:val="center"/>
              <w:rPr>
                <w:rFonts w:ascii="Palatino" w:hAnsi="Palatino"/>
                <w:sz w:val="16"/>
              </w:rPr>
            </w:pPr>
          </w:p>
        </w:tc>
        <w:tc>
          <w:tcPr>
            <w:tcW w:w="630" w:type="dxa"/>
          </w:tcPr>
          <w:p w14:paraId="259F6A7E"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FC5264F"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795B89ED"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47C73239"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FDE888D"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57296CE0"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6B42BD8A"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4A5F9A69" w14:textId="77777777" w:rsidTr="00742BE3">
        <w:trPr>
          <w:trHeight w:val="320"/>
        </w:trPr>
        <w:tc>
          <w:tcPr>
            <w:tcW w:w="2700" w:type="dxa"/>
          </w:tcPr>
          <w:p w14:paraId="759DB579" w14:textId="77777777" w:rsidR="00742BE3" w:rsidRPr="00BA6536" w:rsidRDefault="00742BE3" w:rsidP="00742BE3">
            <w:pPr>
              <w:tabs>
                <w:tab w:val="left" w:pos="720"/>
              </w:tabs>
              <w:spacing w:line="240" w:lineRule="exact"/>
              <w:ind w:left="-18"/>
              <w:rPr>
                <w:rFonts w:ascii="Palatino" w:hAnsi="Palatino"/>
                <w:sz w:val="16"/>
              </w:rPr>
            </w:pPr>
            <w:r w:rsidRPr="00BA6536">
              <w:rPr>
                <w:rFonts w:ascii="Palatino" w:hAnsi="Palatino"/>
                <w:sz w:val="16"/>
              </w:rPr>
              <w:t xml:space="preserve">Group homes, juvenile facilities, schools and similar facilities  </w:t>
            </w:r>
          </w:p>
        </w:tc>
        <w:tc>
          <w:tcPr>
            <w:tcW w:w="720" w:type="dxa"/>
          </w:tcPr>
          <w:p w14:paraId="3E47D42D"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64A38781"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709252CD"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87F74BD"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0CAE50A7"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1658CFEB"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682D1527"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24916E82"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7A4935EF"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65A70151"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52EA650E"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0533A1C2"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28D13086"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7C3F3C20"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20F2815A"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12591890"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7F100EFF"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261C3FCE"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24C87C5B"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3A578394"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72B7B666" w14:textId="77777777" w:rsidTr="00742BE3">
        <w:trPr>
          <w:trHeight w:val="320"/>
        </w:trPr>
        <w:tc>
          <w:tcPr>
            <w:tcW w:w="2700" w:type="dxa"/>
          </w:tcPr>
          <w:p w14:paraId="50B37939" w14:textId="77777777" w:rsidR="00742BE3" w:rsidRPr="00BA6536" w:rsidRDefault="00742BE3" w:rsidP="00742BE3">
            <w:pPr>
              <w:spacing w:line="240" w:lineRule="atLeast"/>
              <w:rPr>
                <w:rFonts w:ascii="Palatino" w:hAnsi="Palatino"/>
                <w:sz w:val="16"/>
              </w:rPr>
            </w:pPr>
            <w:r w:rsidRPr="00BA6536">
              <w:rPr>
                <w:rFonts w:ascii="Palatino" w:hAnsi="Palatino"/>
                <w:sz w:val="16"/>
              </w:rPr>
              <w:t>Farm labor housing</w:t>
            </w:r>
          </w:p>
        </w:tc>
        <w:tc>
          <w:tcPr>
            <w:tcW w:w="720" w:type="dxa"/>
          </w:tcPr>
          <w:p w14:paraId="103E59B3"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303E146"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06E60B95"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256FBBD"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1E046CBC"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2ACC316E"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76910739"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4CF13BD"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07350138"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177C86BB"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1F496F0E"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5F362BA0"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C34742A"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3593D55"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5192CA0F"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075E75A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720" w:type="dxa"/>
          </w:tcPr>
          <w:p w14:paraId="4DD5014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7F9DF62C"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69F9F4D6"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3532A383"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70905DFB" w14:textId="77777777" w:rsidTr="00742BE3">
        <w:trPr>
          <w:trHeight w:val="320"/>
        </w:trPr>
        <w:tc>
          <w:tcPr>
            <w:tcW w:w="2700" w:type="dxa"/>
          </w:tcPr>
          <w:p w14:paraId="0CDD50C8" w14:textId="77777777" w:rsidR="00742BE3" w:rsidRPr="00BA6536" w:rsidRDefault="00742BE3" w:rsidP="00742BE3">
            <w:pPr>
              <w:spacing w:line="240" w:lineRule="atLeast"/>
              <w:rPr>
                <w:rFonts w:ascii="Palatino" w:hAnsi="Palatino"/>
                <w:sz w:val="16"/>
              </w:rPr>
            </w:pPr>
            <w:r w:rsidRPr="00BA6536">
              <w:rPr>
                <w:rFonts w:ascii="Palatino" w:hAnsi="Palatino"/>
                <w:sz w:val="16"/>
              </w:rPr>
              <w:t>Farm labor trailer parks</w:t>
            </w:r>
          </w:p>
        </w:tc>
        <w:tc>
          <w:tcPr>
            <w:tcW w:w="720" w:type="dxa"/>
          </w:tcPr>
          <w:p w14:paraId="2170C786"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7EA3225D"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536A3CF3"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2DB11729"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7DD25469"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08FD3C28"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75F96F51"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7D307DBE"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4854E406"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7BBC99B6"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0D61CBAA"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7BCEE5A3"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B4C96D9"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5443EDC1"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D04E6AB"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50121AFE"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720" w:type="dxa"/>
          </w:tcPr>
          <w:p w14:paraId="61A25930"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2C447B41"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5A3926E8"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5D967842" w14:textId="77777777" w:rsidR="00742BE3" w:rsidRPr="00BA6536" w:rsidRDefault="00742BE3" w:rsidP="00742BE3">
            <w:pPr>
              <w:spacing w:line="240" w:lineRule="atLeast"/>
              <w:ind w:left="-108" w:right="-108"/>
              <w:jc w:val="center"/>
              <w:rPr>
                <w:rFonts w:ascii="Palatino" w:hAnsi="Palatino"/>
                <w:sz w:val="16"/>
              </w:rPr>
            </w:pPr>
          </w:p>
        </w:tc>
      </w:tr>
      <w:tr w:rsidR="00742BE3" w:rsidRPr="00BA6536" w14:paraId="745D884D" w14:textId="77777777" w:rsidTr="00742BE3">
        <w:trPr>
          <w:trHeight w:val="320"/>
        </w:trPr>
        <w:tc>
          <w:tcPr>
            <w:tcW w:w="2700" w:type="dxa"/>
          </w:tcPr>
          <w:p w14:paraId="6D725680" w14:textId="77777777" w:rsidR="00742BE3" w:rsidRPr="00BA6536" w:rsidRDefault="00742BE3" w:rsidP="00742BE3">
            <w:pPr>
              <w:spacing w:line="240" w:lineRule="atLeast"/>
              <w:rPr>
                <w:rFonts w:ascii="Palatino" w:hAnsi="Palatino"/>
                <w:sz w:val="16"/>
              </w:rPr>
            </w:pPr>
            <w:r w:rsidRPr="00BA6536">
              <w:rPr>
                <w:rFonts w:ascii="Palatino" w:hAnsi="Palatino"/>
                <w:sz w:val="16"/>
              </w:rPr>
              <w:t>Employee housing</w:t>
            </w:r>
          </w:p>
        </w:tc>
        <w:tc>
          <w:tcPr>
            <w:tcW w:w="720" w:type="dxa"/>
          </w:tcPr>
          <w:p w14:paraId="566D5121"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ACE36BB"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14167250"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C2C1A64"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02FD3211"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46767172" w14:textId="77777777" w:rsidR="00742BE3" w:rsidRPr="00BA6536" w:rsidRDefault="00742BE3" w:rsidP="00742BE3">
            <w:pPr>
              <w:spacing w:line="240" w:lineRule="atLeast"/>
              <w:ind w:left="-108" w:right="-108"/>
              <w:jc w:val="center"/>
              <w:rPr>
                <w:rFonts w:ascii="Palatino" w:hAnsi="Palatino"/>
                <w:sz w:val="16"/>
              </w:rPr>
            </w:pPr>
          </w:p>
        </w:tc>
        <w:tc>
          <w:tcPr>
            <w:tcW w:w="990" w:type="dxa"/>
          </w:tcPr>
          <w:p w14:paraId="48EAEFE4"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7801E7A0"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7C1FD13E"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6BAB3BEB"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2326A514"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UP</w:t>
            </w:r>
          </w:p>
        </w:tc>
        <w:tc>
          <w:tcPr>
            <w:tcW w:w="630" w:type="dxa"/>
          </w:tcPr>
          <w:p w14:paraId="1C97A9BD"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0157775A"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138A7A4F"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4282EE89"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405C7D6"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5CD0389A" w14:textId="77777777" w:rsidR="00742BE3" w:rsidRPr="00BA6536" w:rsidRDefault="00742BE3" w:rsidP="00742BE3">
            <w:pPr>
              <w:spacing w:line="240" w:lineRule="atLeast"/>
              <w:ind w:left="-108" w:right="-108"/>
              <w:jc w:val="center"/>
              <w:rPr>
                <w:rFonts w:ascii="Palatino" w:hAnsi="Palatino"/>
                <w:sz w:val="16"/>
              </w:rPr>
            </w:pPr>
          </w:p>
        </w:tc>
        <w:tc>
          <w:tcPr>
            <w:tcW w:w="630" w:type="dxa"/>
          </w:tcPr>
          <w:p w14:paraId="3B18604F" w14:textId="77777777" w:rsidR="00742BE3" w:rsidRPr="00BA6536" w:rsidRDefault="00742BE3" w:rsidP="00742BE3">
            <w:pPr>
              <w:spacing w:line="240" w:lineRule="atLeast"/>
              <w:ind w:left="-108" w:right="-108"/>
              <w:jc w:val="center"/>
              <w:rPr>
                <w:rFonts w:ascii="Palatino" w:hAnsi="Palatino"/>
                <w:sz w:val="16"/>
              </w:rPr>
            </w:pPr>
          </w:p>
        </w:tc>
        <w:tc>
          <w:tcPr>
            <w:tcW w:w="720" w:type="dxa"/>
          </w:tcPr>
          <w:p w14:paraId="313393E9" w14:textId="77777777" w:rsidR="00742BE3" w:rsidRPr="00BA6536" w:rsidRDefault="00742BE3" w:rsidP="00742BE3">
            <w:pPr>
              <w:spacing w:line="240" w:lineRule="atLeast"/>
              <w:ind w:left="-108" w:right="-108"/>
              <w:jc w:val="center"/>
              <w:rPr>
                <w:rFonts w:ascii="Palatino" w:hAnsi="Palatino"/>
                <w:sz w:val="16"/>
              </w:rPr>
            </w:pPr>
          </w:p>
        </w:tc>
        <w:tc>
          <w:tcPr>
            <w:tcW w:w="810" w:type="dxa"/>
          </w:tcPr>
          <w:p w14:paraId="22BE29F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r>
      <w:tr w:rsidR="00AC2BB8" w:rsidRPr="00BA6536" w14:paraId="1668CA4F" w14:textId="77777777" w:rsidTr="00742BE3">
        <w:trPr>
          <w:trHeight w:val="320"/>
        </w:trPr>
        <w:tc>
          <w:tcPr>
            <w:tcW w:w="2700" w:type="dxa"/>
          </w:tcPr>
          <w:p w14:paraId="4342F76C" w14:textId="77777777" w:rsidR="00AC2BB8" w:rsidRPr="00BA6536" w:rsidRDefault="00AC2BB8" w:rsidP="00742BE3">
            <w:pPr>
              <w:spacing w:line="240" w:lineRule="atLeast"/>
              <w:rPr>
                <w:rFonts w:ascii="Palatino" w:hAnsi="Palatino"/>
                <w:sz w:val="16"/>
              </w:rPr>
            </w:pPr>
            <w:r w:rsidRPr="00BA6536">
              <w:rPr>
                <w:rFonts w:ascii="Palatino" w:hAnsi="Palatino"/>
                <w:sz w:val="16"/>
              </w:rPr>
              <w:t>Emergency Shelters</w:t>
            </w:r>
          </w:p>
        </w:tc>
        <w:tc>
          <w:tcPr>
            <w:tcW w:w="720" w:type="dxa"/>
          </w:tcPr>
          <w:p w14:paraId="7B1AB10A" w14:textId="77777777" w:rsidR="00AC2BB8" w:rsidRPr="00BA6536" w:rsidRDefault="00AC2BB8" w:rsidP="00742BE3">
            <w:pPr>
              <w:spacing w:line="240" w:lineRule="atLeast"/>
              <w:ind w:left="-108" w:right="-108"/>
              <w:jc w:val="center"/>
              <w:rPr>
                <w:rFonts w:ascii="Palatino" w:hAnsi="Palatino"/>
                <w:sz w:val="16"/>
              </w:rPr>
            </w:pPr>
          </w:p>
        </w:tc>
        <w:tc>
          <w:tcPr>
            <w:tcW w:w="630" w:type="dxa"/>
          </w:tcPr>
          <w:p w14:paraId="4A06BF6C" w14:textId="77777777" w:rsidR="00AC2BB8" w:rsidRPr="00BA6536" w:rsidRDefault="00AC2BB8" w:rsidP="00742BE3">
            <w:pPr>
              <w:spacing w:line="240" w:lineRule="atLeast"/>
              <w:ind w:left="-108" w:right="-108"/>
              <w:jc w:val="center"/>
              <w:rPr>
                <w:rFonts w:ascii="Palatino" w:hAnsi="Palatino"/>
                <w:sz w:val="16"/>
              </w:rPr>
            </w:pPr>
          </w:p>
        </w:tc>
        <w:tc>
          <w:tcPr>
            <w:tcW w:w="720" w:type="dxa"/>
          </w:tcPr>
          <w:p w14:paraId="7FEA768F" w14:textId="77777777" w:rsidR="00AC2BB8" w:rsidRPr="00BA6536" w:rsidRDefault="00AC2BB8" w:rsidP="00742BE3">
            <w:pPr>
              <w:spacing w:line="240" w:lineRule="atLeast"/>
              <w:ind w:left="-108" w:right="-108"/>
              <w:jc w:val="center"/>
              <w:rPr>
                <w:rFonts w:ascii="Palatino" w:hAnsi="Palatino"/>
                <w:sz w:val="16"/>
              </w:rPr>
            </w:pPr>
          </w:p>
        </w:tc>
        <w:tc>
          <w:tcPr>
            <w:tcW w:w="630" w:type="dxa"/>
          </w:tcPr>
          <w:p w14:paraId="60D35478" w14:textId="77777777" w:rsidR="00AC2BB8" w:rsidRPr="00BA6536" w:rsidRDefault="00AC2BB8" w:rsidP="00742BE3">
            <w:pPr>
              <w:spacing w:line="240" w:lineRule="atLeast"/>
              <w:ind w:left="-108" w:right="-108"/>
              <w:jc w:val="center"/>
              <w:rPr>
                <w:rFonts w:ascii="Palatino" w:hAnsi="Palatino"/>
                <w:sz w:val="16"/>
              </w:rPr>
            </w:pPr>
          </w:p>
        </w:tc>
        <w:tc>
          <w:tcPr>
            <w:tcW w:w="990" w:type="dxa"/>
          </w:tcPr>
          <w:p w14:paraId="265C57A3" w14:textId="77777777" w:rsidR="00AC2BB8" w:rsidRPr="00BA6536" w:rsidRDefault="00AC2BB8" w:rsidP="00742BE3">
            <w:pPr>
              <w:spacing w:line="240" w:lineRule="atLeast"/>
              <w:ind w:left="-108" w:right="-108"/>
              <w:jc w:val="center"/>
              <w:rPr>
                <w:rFonts w:ascii="Palatino" w:hAnsi="Palatino"/>
                <w:sz w:val="16"/>
              </w:rPr>
            </w:pPr>
          </w:p>
        </w:tc>
        <w:tc>
          <w:tcPr>
            <w:tcW w:w="990" w:type="dxa"/>
          </w:tcPr>
          <w:p w14:paraId="3F9ACC1A" w14:textId="77777777" w:rsidR="00AC2BB8" w:rsidRPr="00BA6536" w:rsidRDefault="00AC2BB8" w:rsidP="00742BE3">
            <w:pPr>
              <w:spacing w:line="240" w:lineRule="atLeast"/>
              <w:ind w:left="-108" w:right="-108"/>
              <w:jc w:val="center"/>
              <w:rPr>
                <w:rFonts w:ascii="Palatino" w:hAnsi="Palatino"/>
                <w:sz w:val="16"/>
              </w:rPr>
            </w:pPr>
          </w:p>
        </w:tc>
        <w:tc>
          <w:tcPr>
            <w:tcW w:w="990" w:type="dxa"/>
          </w:tcPr>
          <w:p w14:paraId="3094CAA7" w14:textId="77777777" w:rsidR="00AC2BB8" w:rsidRPr="00BA6536" w:rsidRDefault="00AC2BB8" w:rsidP="00742BE3">
            <w:pPr>
              <w:spacing w:line="240" w:lineRule="atLeast"/>
              <w:ind w:left="-108" w:right="-108"/>
              <w:jc w:val="center"/>
              <w:rPr>
                <w:rFonts w:ascii="Palatino" w:hAnsi="Palatino"/>
                <w:sz w:val="16"/>
              </w:rPr>
            </w:pPr>
          </w:p>
        </w:tc>
        <w:tc>
          <w:tcPr>
            <w:tcW w:w="630" w:type="dxa"/>
          </w:tcPr>
          <w:p w14:paraId="572F2DE7" w14:textId="77777777" w:rsidR="00AC2BB8" w:rsidRPr="00BA6536" w:rsidRDefault="00AC2BB8" w:rsidP="00742BE3">
            <w:pPr>
              <w:spacing w:line="240" w:lineRule="atLeast"/>
              <w:ind w:left="-108" w:right="-108"/>
              <w:jc w:val="center"/>
              <w:rPr>
                <w:rFonts w:ascii="Palatino" w:hAnsi="Palatino"/>
                <w:sz w:val="16"/>
              </w:rPr>
            </w:pPr>
          </w:p>
        </w:tc>
        <w:tc>
          <w:tcPr>
            <w:tcW w:w="810" w:type="dxa"/>
          </w:tcPr>
          <w:p w14:paraId="4800CA76" w14:textId="77777777" w:rsidR="00AC2BB8" w:rsidRPr="00BA6536" w:rsidRDefault="00AC2BB8" w:rsidP="00742BE3">
            <w:pPr>
              <w:spacing w:line="240" w:lineRule="atLeast"/>
              <w:ind w:left="-108" w:right="-108"/>
              <w:jc w:val="center"/>
              <w:rPr>
                <w:rFonts w:ascii="Palatino" w:hAnsi="Palatino"/>
                <w:sz w:val="16"/>
              </w:rPr>
            </w:pPr>
          </w:p>
        </w:tc>
        <w:tc>
          <w:tcPr>
            <w:tcW w:w="810" w:type="dxa"/>
          </w:tcPr>
          <w:p w14:paraId="6163FF03" w14:textId="77777777" w:rsidR="00AC2BB8" w:rsidRPr="00BA6536" w:rsidRDefault="00AC2BB8" w:rsidP="00742BE3">
            <w:pPr>
              <w:spacing w:line="240" w:lineRule="atLeast"/>
              <w:ind w:left="-108" w:right="-108"/>
              <w:jc w:val="center"/>
              <w:rPr>
                <w:rFonts w:ascii="Palatino" w:hAnsi="Palatino"/>
                <w:sz w:val="16"/>
              </w:rPr>
            </w:pPr>
          </w:p>
        </w:tc>
        <w:tc>
          <w:tcPr>
            <w:tcW w:w="630" w:type="dxa"/>
          </w:tcPr>
          <w:p w14:paraId="543AF061" w14:textId="77777777" w:rsidR="00AC2BB8" w:rsidRPr="00BA6536" w:rsidRDefault="00AC2BB8" w:rsidP="00742BE3">
            <w:pPr>
              <w:spacing w:line="240" w:lineRule="atLeast"/>
              <w:ind w:left="-108" w:right="-108"/>
              <w:jc w:val="center"/>
              <w:rPr>
                <w:rFonts w:ascii="Palatino" w:hAnsi="Palatino"/>
                <w:sz w:val="16"/>
              </w:rPr>
            </w:pPr>
          </w:p>
        </w:tc>
        <w:tc>
          <w:tcPr>
            <w:tcW w:w="630" w:type="dxa"/>
          </w:tcPr>
          <w:p w14:paraId="74248E5B" w14:textId="77777777" w:rsidR="00AC2BB8" w:rsidRPr="00BA6536" w:rsidRDefault="00AC2BB8" w:rsidP="00742BE3">
            <w:pPr>
              <w:spacing w:line="240" w:lineRule="atLeast"/>
              <w:ind w:left="-108" w:right="-108"/>
              <w:jc w:val="center"/>
              <w:rPr>
                <w:rFonts w:ascii="Palatino" w:hAnsi="Palatino"/>
                <w:sz w:val="16"/>
              </w:rPr>
            </w:pPr>
          </w:p>
        </w:tc>
        <w:tc>
          <w:tcPr>
            <w:tcW w:w="630" w:type="dxa"/>
          </w:tcPr>
          <w:p w14:paraId="39762016" w14:textId="77777777" w:rsidR="00AC2BB8" w:rsidRPr="00BA6536" w:rsidRDefault="00AC2BB8" w:rsidP="00742BE3">
            <w:pPr>
              <w:spacing w:line="240" w:lineRule="atLeast"/>
              <w:ind w:left="-108" w:right="-108"/>
              <w:jc w:val="center"/>
              <w:rPr>
                <w:rFonts w:ascii="Palatino" w:hAnsi="Palatino"/>
                <w:sz w:val="16"/>
              </w:rPr>
            </w:pPr>
          </w:p>
        </w:tc>
        <w:tc>
          <w:tcPr>
            <w:tcW w:w="630" w:type="dxa"/>
          </w:tcPr>
          <w:p w14:paraId="03B9BC8B" w14:textId="77777777" w:rsidR="00AC2BB8" w:rsidRPr="00BA6536" w:rsidRDefault="00AC2BB8" w:rsidP="00742BE3">
            <w:pPr>
              <w:spacing w:line="240" w:lineRule="atLeast"/>
              <w:ind w:left="-108" w:right="-108"/>
              <w:jc w:val="center"/>
              <w:rPr>
                <w:rFonts w:ascii="Palatino" w:hAnsi="Palatino"/>
                <w:sz w:val="16"/>
              </w:rPr>
            </w:pPr>
            <w:r w:rsidRPr="00BA6536">
              <w:rPr>
                <w:rFonts w:ascii="Palatino" w:hAnsi="Palatino"/>
                <w:sz w:val="16"/>
              </w:rPr>
              <w:t>P</w:t>
            </w:r>
          </w:p>
        </w:tc>
        <w:tc>
          <w:tcPr>
            <w:tcW w:w="630" w:type="dxa"/>
          </w:tcPr>
          <w:p w14:paraId="0782DE17" w14:textId="77777777" w:rsidR="00AC2BB8" w:rsidRPr="00BA6536" w:rsidRDefault="00AC2BB8" w:rsidP="00742BE3">
            <w:pPr>
              <w:spacing w:line="240" w:lineRule="atLeast"/>
              <w:ind w:left="-108" w:right="-108"/>
              <w:jc w:val="center"/>
              <w:rPr>
                <w:rFonts w:ascii="Palatino" w:hAnsi="Palatino"/>
                <w:sz w:val="16"/>
              </w:rPr>
            </w:pPr>
          </w:p>
        </w:tc>
        <w:tc>
          <w:tcPr>
            <w:tcW w:w="630" w:type="dxa"/>
          </w:tcPr>
          <w:p w14:paraId="428ED7AC" w14:textId="77777777" w:rsidR="00AC2BB8" w:rsidRPr="00BA6536" w:rsidRDefault="00AC2BB8" w:rsidP="00742BE3">
            <w:pPr>
              <w:spacing w:line="240" w:lineRule="atLeast"/>
              <w:ind w:left="-108" w:right="-108"/>
              <w:jc w:val="center"/>
              <w:rPr>
                <w:rFonts w:ascii="Palatino" w:hAnsi="Palatino"/>
                <w:sz w:val="16"/>
              </w:rPr>
            </w:pPr>
          </w:p>
        </w:tc>
        <w:tc>
          <w:tcPr>
            <w:tcW w:w="720" w:type="dxa"/>
          </w:tcPr>
          <w:p w14:paraId="7CF4A79D" w14:textId="77777777" w:rsidR="00AC2BB8" w:rsidRPr="00BA6536" w:rsidRDefault="00AC2BB8" w:rsidP="00742BE3">
            <w:pPr>
              <w:spacing w:line="240" w:lineRule="atLeast"/>
              <w:ind w:left="-108" w:right="-108"/>
              <w:jc w:val="center"/>
              <w:rPr>
                <w:rFonts w:ascii="Palatino" w:hAnsi="Palatino"/>
                <w:sz w:val="16"/>
              </w:rPr>
            </w:pPr>
          </w:p>
        </w:tc>
        <w:tc>
          <w:tcPr>
            <w:tcW w:w="630" w:type="dxa"/>
          </w:tcPr>
          <w:p w14:paraId="50CF32D6" w14:textId="77777777" w:rsidR="00AC2BB8" w:rsidRPr="00BA6536" w:rsidRDefault="00AC2BB8" w:rsidP="00742BE3">
            <w:pPr>
              <w:spacing w:line="240" w:lineRule="atLeast"/>
              <w:ind w:left="-108" w:right="-108"/>
              <w:jc w:val="center"/>
              <w:rPr>
                <w:rFonts w:ascii="Palatino" w:hAnsi="Palatino"/>
                <w:sz w:val="16"/>
              </w:rPr>
            </w:pPr>
          </w:p>
        </w:tc>
        <w:tc>
          <w:tcPr>
            <w:tcW w:w="720" w:type="dxa"/>
          </w:tcPr>
          <w:p w14:paraId="37DE1EE0" w14:textId="77777777" w:rsidR="00AC2BB8" w:rsidRPr="00BA6536" w:rsidRDefault="00AC2BB8" w:rsidP="00742BE3">
            <w:pPr>
              <w:spacing w:line="240" w:lineRule="atLeast"/>
              <w:ind w:left="-108" w:right="-108"/>
              <w:jc w:val="center"/>
              <w:rPr>
                <w:rFonts w:ascii="Palatino" w:hAnsi="Palatino"/>
                <w:sz w:val="16"/>
              </w:rPr>
            </w:pPr>
          </w:p>
        </w:tc>
        <w:tc>
          <w:tcPr>
            <w:tcW w:w="810" w:type="dxa"/>
          </w:tcPr>
          <w:p w14:paraId="5F5336C3" w14:textId="77777777" w:rsidR="00AC2BB8" w:rsidRPr="00BA6536" w:rsidRDefault="00AC2BB8" w:rsidP="00742BE3">
            <w:pPr>
              <w:spacing w:line="240" w:lineRule="atLeast"/>
              <w:ind w:left="-108" w:right="-108"/>
              <w:jc w:val="center"/>
              <w:rPr>
                <w:rFonts w:ascii="Palatino" w:hAnsi="Palatino"/>
                <w:sz w:val="16"/>
              </w:rPr>
            </w:pPr>
          </w:p>
        </w:tc>
      </w:tr>
      <w:tr w:rsidR="00742BE3" w:rsidRPr="00BA6536" w14:paraId="1883E440" w14:textId="77777777" w:rsidTr="00742BE3">
        <w:trPr>
          <w:cantSplit/>
          <w:trHeight w:val="320"/>
        </w:trPr>
        <w:tc>
          <w:tcPr>
            <w:tcW w:w="17280" w:type="dxa"/>
            <w:gridSpan w:val="21"/>
          </w:tcPr>
          <w:p w14:paraId="4D25E8A7"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Notes: P = Permitted Use, D = Permitted Subject to Director Review permit, UP = Permitted Sub</w:t>
            </w:r>
            <w:r w:rsidR="00AC2BB8" w:rsidRPr="00BA6536">
              <w:rPr>
                <w:rFonts w:ascii="Palatino" w:hAnsi="Palatino"/>
                <w:sz w:val="16"/>
              </w:rPr>
              <w:t>ject to Conditional Use Permit, OD = Subject to Obtaining Transient Rental Overlay District</w:t>
            </w:r>
          </w:p>
          <w:p w14:paraId="425B3219" w14:textId="77777777" w:rsidR="00AC2BB8" w:rsidRPr="00BA6536" w:rsidRDefault="00AC2BB8" w:rsidP="00742BE3">
            <w:pPr>
              <w:spacing w:line="240" w:lineRule="atLeast"/>
              <w:jc w:val="both"/>
              <w:rPr>
                <w:rFonts w:ascii="Palatino" w:hAnsi="Palatino"/>
                <w:sz w:val="16"/>
              </w:rPr>
            </w:pPr>
            <w:r w:rsidRPr="00BA6536">
              <w:rPr>
                <w:rFonts w:ascii="Palatino" w:hAnsi="Palatino"/>
                <w:sz w:val="16"/>
              </w:rPr>
              <w:t>1. Small units permitted outright, larger units may require DR or UP depending on parcel size.</w:t>
            </w:r>
          </w:p>
          <w:p w14:paraId="3F9DC458"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 except in June Lake.</w:t>
            </w:r>
          </w:p>
          <w:p w14:paraId="228246F3"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**transient rentals up to 3 days permitted with Director Review permit.</w:t>
            </w:r>
          </w:p>
          <w:p w14:paraId="7AE8B017"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***when found compatible with the intent of the commercial designation.</w:t>
            </w:r>
          </w:p>
          <w:p w14:paraId="4BB85E10"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****attached secondary units.</w:t>
            </w:r>
          </w:p>
          <w:p w14:paraId="7AFD6174"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*****limited density when found compatible with the area by the planning commission.</w:t>
            </w:r>
          </w:p>
          <w:p w14:paraId="65909095" w14:textId="77777777" w:rsidR="00F2091B" w:rsidRPr="00BA6536" w:rsidRDefault="00F2091B" w:rsidP="00742BE3">
            <w:pPr>
              <w:spacing w:line="240" w:lineRule="atLeast"/>
              <w:jc w:val="both"/>
              <w:rPr>
                <w:rFonts w:ascii="Palatino" w:hAnsi="Palatino"/>
                <w:sz w:val="16"/>
              </w:rPr>
            </w:pPr>
            <w:r w:rsidRPr="00BA6536">
              <w:rPr>
                <w:rFonts w:ascii="Palatino" w:hAnsi="Palatino"/>
                <w:sz w:val="16"/>
              </w:rPr>
              <w:t xml:space="preserve">Transitional </w:t>
            </w:r>
            <w:r w:rsidR="00AF0723" w:rsidRPr="00BA6536">
              <w:rPr>
                <w:rFonts w:ascii="Palatino" w:hAnsi="Palatino"/>
                <w:sz w:val="16"/>
              </w:rPr>
              <w:t>and Supportive Housing are permitted</w:t>
            </w:r>
            <w:r w:rsidR="00806189">
              <w:rPr>
                <w:rFonts w:ascii="Palatino" w:hAnsi="Palatino"/>
                <w:sz w:val="16"/>
              </w:rPr>
              <w:t xml:space="preserve"> in that </w:t>
            </w:r>
            <w:r w:rsidR="004E24A0">
              <w:rPr>
                <w:rFonts w:ascii="Palatino" w:hAnsi="Palatino"/>
                <w:sz w:val="16"/>
              </w:rPr>
              <w:t xml:space="preserve">same manner as other residential dwellings </w:t>
            </w:r>
            <w:r w:rsidR="00806189">
              <w:rPr>
                <w:rFonts w:ascii="Palatino" w:hAnsi="Palatino"/>
                <w:sz w:val="16"/>
              </w:rPr>
              <w:t>of the same type</w:t>
            </w:r>
            <w:r w:rsidR="00AF0723" w:rsidRPr="00BA6536">
              <w:rPr>
                <w:rFonts w:ascii="Palatino" w:hAnsi="Palatino"/>
                <w:sz w:val="16"/>
              </w:rPr>
              <w:t xml:space="preserve"> in the same</w:t>
            </w:r>
            <w:r w:rsidR="00FF6E37" w:rsidRPr="00BA6536">
              <w:rPr>
                <w:rFonts w:ascii="Palatino" w:hAnsi="Palatino"/>
                <w:sz w:val="16"/>
              </w:rPr>
              <w:t xml:space="preserve"> Land Use Designations.</w:t>
            </w:r>
          </w:p>
          <w:p w14:paraId="76077E44"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Source:  Mono County General Plan, Land Use Element, Land Use Designations</w:t>
            </w:r>
          </w:p>
        </w:tc>
      </w:tr>
    </w:tbl>
    <w:p w14:paraId="16D8344F" w14:textId="77777777" w:rsidR="00742BE3" w:rsidRPr="00BA6536" w:rsidRDefault="00742BE3" w:rsidP="00742BE3">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Palatino" w:hAnsi="Palatino"/>
          <w:sz w:val="16"/>
        </w:rPr>
      </w:pPr>
      <w:r w:rsidRPr="00BA6536">
        <w:rPr>
          <w:rFonts w:ascii="Palatino" w:hAnsi="Palatino"/>
          <w:b/>
          <w:sz w:val="16"/>
        </w:rPr>
        <w:t>02.1070</w:t>
      </w:r>
      <w:r w:rsidRPr="00BA6536">
        <w:rPr>
          <w:rFonts w:ascii="Palatino" w:hAnsi="Palatino"/>
          <w:b/>
          <w:sz w:val="16"/>
        </w:rPr>
        <w:tab/>
        <w:t xml:space="preserve">Social care facility. </w:t>
      </w:r>
      <w:r w:rsidRPr="00BA6536">
        <w:rPr>
          <w:rFonts w:ascii="Palatino" w:hAnsi="Palatino"/>
          <w:sz w:val="16"/>
        </w:rPr>
        <w:t>"Social care facility" means any facility in the general classification of a boarding home for aged persons, boarding home for children, day care home for children, day nursery, nursing home or parent-child boarding home. These facilities consist of a building or group of buildings used or designed for the housing of sick, demented, injured, convalescent, infirm or well, normal healthy persons, requiring licensing or certification by regulating government agencies.</w:t>
      </w:r>
    </w:p>
    <w:p w14:paraId="7F5B71FE" w14:textId="77777777" w:rsidR="00742BE3" w:rsidRPr="00BA6536" w:rsidRDefault="00742BE3" w:rsidP="00742BE3">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Palatino" w:hAnsi="Palatino"/>
          <w:sz w:val="16"/>
        </w:rPr>
      </w:pPr>
      <w:r w:rsidRPr="00BA6536">
        <w:rPr>
          <w:rFonts w:ascii="Palatino" w:hAnsi="Palatino"/>
          <w:b/>
          <w:sz w:val="16"/>
        </w:rPr>
        <w:t>02.1210</w:t>
      </w:r>
      <w:r w:rsidRPr="00BA6536">
        <w:rPr>
          <w:rFonts w:ascii="Palatino" w:hAnsi="Palatino"/>
          <w:b/>
          <w:sz w:val="16"/>
        </w:rPr>
        <w:tab/>
        <w:t xml:space="preserve">Transient Rental. </w:t>
      </w:r>
      <w:r w:rsidRPr="00BA6536">
        <w:rPr>
          <w:rFonts w:ascii="Palatino" w:hAnsi="Palatino"/>
          <w:sz w:val="16"/>
        </w:rPr>
        <w:t>"Transient Rental" means any structure, or portion of structure, which is occupied, or intended or designed for occupancy by transients for purposes of sleeping, lodging or similar reasons. A "transient" is any person who exercises occupancy, whether by agreement, concession, permit, right of access, license, contract, payment of rent or otherwise, for a period of thirty (30) consecutive calendar days or less.</w:t>
      </w:r>
    </w:p>
    <w:p w14:paraId="72311F6C" w14:textId="77777777" w:rsidR="00AF0723" w:rsidRPr="00BA6536" w:rsidRDefault="00FF6E37" w:rsidP="00742BE3">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Palatino" w:hAnsi="Palatino"/>
          <w:sz w:val="16"/>
        </w:rPr>
      </w:pPr>
      <w:r w:rsidRPr="00BA6536">
        <w:rPr>
          <w:rFonts w:ascii="Palatino" w:hAnsi="Palatino"/>
          <w:b/>
          <w:sz w:val="16"/>
        </w:rPr>
        <w:t>02.1215</w:t>
      </w:r>
      <w:r w:rsidRPr="00BA6536">
        <w:rPr>
          <w:rFonts w:ascii="Palatino" w:hAnsi="Palatino"/>
          <w:b/>
          <w:sz w:val="16"/>
        </w:rPr>
        <w:tab/>
      </w:r>
      <w:r w:rsidR="00AF0723" w:rsidRPr="00BA6536">
        <w:rPr>
          <w:rFonts w:ascii="Palatino" w:hAnsi="Palatino"/>
          <w:b/>
          <w:sz w:val="16"/>
        </w:rPr>
        <w:t xml:space="preserve">Transitional </w:t>
      </w:r>
      <w:r w:rsidRPr="00BA6536">
        <w:rPr>
          <w:rFonts w:ascii="Palatino" w:hAnsi="Palatino"/>
          <w:b/>
          <w:sz w:val="16"/>
        </w:rPr>
        <w:t>Housing. “</w:t>
      </w:r>
      <w:r w:rsidRPr="00BA6536">
        <w:rPr>
          <w:rFonts w:ascii="Palatino" w:hAnsi="Palatino"/>
          <w:sz w:val="16"/>
        </w:rPr>
        <w:t xml:space="preserve">Transitional Housing” means a type of supportive housing used to facilitate the movement of homeless individuals and families to permanent housing.  </w:t>
      </w:r>
    </w:p>
    <w:p w14:paraId="618F5FB4" w14:textId="77777777" w:rsidR="00FF6E37" w:rsidRPr="00BA6536" w:rsidRDefault="00FF6E37" w:rsidP="00742BE3">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rPr>
          <w:rFonts w:ascii="Palatino" w:hAnsi="Palatino"/>
          <w:sz w:val="16"/>
        </w:rPr>
      </w:pPr>
      <w:r w:rsidRPr="00BA6536">
        <w:rPr>
          <w:rFonts w:ascii="Palatino" w:hAnsi="Palatino"/>
          <w:b/>
          <w:sz w:val="16"/>
        </w:rPr>
        <w:t>02.1165</w:t>
      </w:r>
      <w:r w:rsidRPr="00BA6536">
        <w:rPr>
          <w:rFonts w:ascii="Palatino" w:hAnsi="Palatino"/>
          <w:b/>
          <w:sz w:val="16"/>
        </w:rPr>
        <w:tab/>
        <w:t xml:space="preserve">Supportive Housing. </w:t>
      </w:r>
      <w:r w:rsidRPr="00BA6536">
        <w:rPr>
          <w:rFonts w:ascii="Palatino" w:hAnsi="Palatino"/>
          <w:sz w:val="16"/>
        </w:rPr>
        <w:t xml:space="preserve">“Supportive Housing” means permanent </w:t>
      </w:r>
      <w:r w:rsidR="00584521" w:rsidRPr="00BA6536">
        <w:rPr>
          <w:rFonts w:ascii="Palatino" w:hAnsi="Palatino"/>
          <w:sz w:val="16"/>
        </w:rPr>
        <w:t xml:space="preserve">rental housing linked to a range of support services designed to enable residents to maintain stable housing and lead fuller lives. </w:t>
      </w:r>
    </w:p>
    <w:bookmarkEnd w:id="183"/>
    <w:p w14:paraId="545764C4" w14:textId="77777777" w:rsidR="00742BE3" w:rsidRPr="00BA6536" w:rsidRDefault="00742BE3" w:rsidP="00742BE3">
      <w:pPr>
        <w:spacing w:line="240" w:lineRule="atLeast"/>
        <w:jc w:val="both"/>
        <w:rPr>
          <w:rFonts w:ascii="Palatino" w:hAnsi="Palatino"/>
          <w:b/>
          <w:sz w:val="20"/>
        </w:rPr>
      </w:pPr>
    </w:p>
    <w:p w14:paraId="37C18E04" w14:textId="77777777" w:rsidR="00742BE3" w:rsidRPr="00BA6536" w:rsidRDefault="00742BE3" w:rsidP="00742BE3">
      <w:pPr>
        <w:shd w:val="clear" w:color="auto" w:fill="CC99FF"/>
        <w:spacing w:line="240" w:lineRule="atLeast"/>
        <w:ind w:right="3240"/>
        <w:jc w:val="both"/>
        <w:rPr>
          <w:rFonts w:ascii="Palatino" w:hAnsi="Palatino"/>
          <w:sz w:val="20"/>
        </w:rPr>
      </w:pPr>
      <w:r w:rsidRPr="00BA6536">
        <w:rPr>
          <w:rFonts w:ascii="Palatino" w:hAnsi="Palatino"/>
          <w:b/>
          <w:sz w:val="20"/>
        </w:rPr>
        <w:t>Table 31</w:t>
      </w:r>
      <w:r w:rsidRPr="00BA6536">
        <w:rPr>
          <w:rFonts w:ascii="Palatino" w:hAnsi="Palatino"/>
          <w:b/>
          <w:sz w:val="20"/>
        </w:rPr>
        <w:tab/>
        <w:t>Residential Development Standards by Land Use Designation</w:t>
      </w:r>
      <w:r w:rsidRPr="00BA6536">
        <w:rPr>
          <w:rFonts w:ascii="Palatino" w:hAnsi="Palatino"/>
          <w:sz w:val="20"/>
        </w:rPr>
        <w:fldChar w:fldCharType="begin"/>
      </w:r>
      <w:r w:rsidRPr="00BA6536">
        <w:rPr>
          <w:rFonts w:ascii="Palatino" w:hAnsi="Palatino"/>
          <w:sz w:val="20"/>
        </w:rPr>
        <w:instrText xml:space="preserve"> TC"</w:instrText>
      </w:r>
      <w:bookmarkStart w:id="187" w:name="_Toc76444436"/>
      <w:bookmarkStart w:id="188" w:name="_Toc106530190"/>
      <w:bookmarkStart w:id="189" w:name="_Toc123887018"/>
      <w:r w:rsidRPr="00BA6536">
        <w:rPr>
          <w:rFonts w:ascii="Palatino" w:hAnsi="Palatino"/>
          <w:sz w:val="20"/>
        </w:rPr>
        <w:instrText>Table 48 B</w:instrText>
      </w:r>
      <w:r w:rsidRPr="00BA6536">
        <w:rPr>
          <w:rFonts w:ascii="Palatino" w:hAnsi="Palatino"/>
          <w:sz w:val="20"/>
        </w:rPr>
        <w:tab/>
        <w:instrText>Residential Development Standards by Land Use Designation</w:instrText>
      </w:r>
      <w:bookmarkEnd w:id="187"/>
      <w:bookmarkEnd w:id="188"/>
      <w:bookmarkEnd w:id="189"/>
      <w:r w:rsidRPr="00BA6536">
        <w:rPr>
          <w:rFonts w:ascii="Palatino" w:hAnsi="Palatino"/>
          <w:sz w:val="20"/>
        </w:rPr>
        <w:instrText xml:space="preserve">"\f t </w:instrText>
      </w:r>
      <w:r w:rsidRPr="00BA6536">
        <w:rPr>
          <w:rFonts w:ascii="Palatino" w:hAnsi="Palatino"/>
          <w:sz w:val="20"/>
        </w:rPr>
        <w:fldChar w:fldCharType="end"/>
      </w:r>
    </w:p>
    <w:p w14:paraId="17720EFD" w14:textId="77777777" w:rsidR="00742BE3" w:rsidRPr="00BA6536" w:rsidRDefault="00742BE3" w:rsidP="00742BE3">
      <w:pPr>
        <w:shd w:val="clear" w:color="auto" w:fill="CC99FF"/>
        <w:spacing w:line="240" w:lineRule="atLeast"/>
        <w:ind w:right="3240"/>
        <w:jc w:val="both"/>
        <w:rPr>
          <w:rFonts w:ascii="Palatino" w:hAnsi="Palatino"/>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720"/>
        <w:gridCol w:w="630"/>
        <w:gridCol w:w="720"/>
        <w:gridCol w:w="630"/>
        <w:gridCol w:w="990"/>
        <w:gridCol w:w="990"/>
        <w:gridCol w:w="810"/>
        <w:gridCol w:w="990"/>
        <w:gridCol w:w="990"/>
        <w:gridCol w:w="990"/>
        <w:gridCol w:w="630"/>
        <w:gridCol w:w="720"/>
        <w:gridCol w:w="720"/>
        <w:gridCol w:w="630"/>
      </w:tblGrid>
      <w:tr w:rsidR="00742BE3" w:rsidRPr="00BA6536" w14:paraId="6D382CD7" w14:textId="77777777" w:rsidTr="00742BE3">
        <w:trPr>
          <w:trHeight w:val="320"/>
        </w:trPr>
        <w:tc>
          <w:tcPr>
            <w:tcW w:w="2160" w:type="dxa"/>
            <w:shd w:val="clear" w:color="auto" w:fill="E6E6E6"/>
          </w:tcPr>
          <w:p w14:paraId="0DB5CA18" w14:textId="77777777" w:rsidR="00742BE3" w:rsidRPr="00BA6536" w:rsidRDefault="00742BE3" w:rsidP="00742BE3">
            <w:pPr>
              <w:spacing w:line="240" w:lineRule="atLeast"/>
              <w:rPr>
                <w:rFonts w:ascii="Palatino" w:hAnsi="Palatino"/>
                <w:sz w:val="16"/>
              </w:rPr>
            </w:pPr>
            <w:r w:rsidRPr="00BA6536">
              <w:rPr>
                <w:rFonts w:ascii="Palatino" w:hAnsi="Palatino"/>
                <w:sz w:val="16"/>
              </w:rPr>
              <w:t>Development Standards</w:t>
            </w:r>
          </w:p>
        </w:tc>
        <w:tc>
          <w:tcPr>
            <w:tcW w:w="720" w:type="dxa"/>
            <w:shd w:val="clear" w:color="auto" w:fill="E6E6E6"/>
          </w:tcPr>
          <w:p w14:paraId="1216A774"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RR</w:t>
            </w:r>
          </w:p>
        </w:tc>
        <w:tc>
          <w:tcPr>
            <w:tcW w:w="630" w:type="dxa"/>
            <w:shd w:val="clear" w:color="auto" w:fill="E6E6E6"/>
          </w:tcPr>
          <w:p w14:paraId="0A22D17B"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ER</w:t>
            </w:r>
          </w:p>
        </w:tc>
        <w:tc>
          <w:tcPr>
            <w:tcW w:w="720" w:type="dxa"/>
            <w:shd w:val="clear" w:color="auto" w:fill="E6E6E6"/>
          </w:tcPr>
          <w:p w14:paraId="74CB01F8"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RMH</w:t>
            </w:r>
          </w:p>
        </w:tc>
        <w:tc>
          <w:tcPr>
            <w:tcW w:w="630" w:type="dxa"/>
            <w:shd w:val="clear" w:color="auto" w:fill="E6E6E6"/>
          </w:tcPr>
          <w:p w14:paraId="2B178054"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SFR</w:t>
            </w:r>
          </w:p>
        </w:tc>
        <w:tc>
          <w:tcPr>
            <w:tcW w:w="990" w:type="dxa"/>
            <w:shd w:val="clear" w:color="auto" w:fill="E6E6E6"/>
          </w:tcPr>
          <w:p w14:paraId="3FA2EC75"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MFR-L</w:t>
            </w:r>
          </w:p>
        </w:tc>
        <w:tc>
          <w:tcPr>
            <w:tcW w:w="990" w:type="dxa"/>
            <w:shd w:val="clear" w:color="auto" w:fill="E6E6E6"/>
          </w:tcPr>
          <w:p w14:paraId="68562B74"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MFR-M</w:t>
            </w:r>
          </w:p>
        </w:tc>
        <w:tc>
          <w:tcPr>
            <w:tcW w:w="810" w:type="dxa"/>
            <w:shd w:val="clear" w:color="auto" w:fill="E6E6E6"/>
          </w:tcPr>
          <w:p w14:paraId="4CCDF102"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MFR-H</w:t>
            </w:r>
          </w:p>
        </w:tc>
        <w:tc>
          <w:tcPr>
            <w:tcW w:w="990" w:type="dxa"/>
            <w:shd w:val="clear" w:color="auto" w:fill="E6E6E6"/>
          </w:tcPr>
          <w:p w14:paraId="13A3BAD6"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MU</w:t>
            </w:r>
          </w:p>
        </w:tc>
        <w:tc>
          <w:tcPr>
            <w:tcW w:w="990" w:type="dxa"/>
            <w:shd w:val="clear" w:color="auto" w:fill="E6E6E6"/>
          </w:tcPr>
          <w:p w14:paraId="0B4366CE"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CL-M</w:t>
            </w:r>
          </w:p>
        </w:tc>
        <w:tc>
          <w:tcPr>
            <w:tcW w:w="990" w:type="dxa"/>
            <w:shd w:val="clear" w:color="auto" w:fill="E6E6E6"/>
          </w:tcPr>
          <w:p w14:paraId="33CBB61E"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CL-H</w:t>
            </w:r>
          </w:p>
        </w:tc>
        <w:tc>
          <w:tcPr>
            <w:tcW w:w="630" w:type="dxa"/>
            <w:shd w:val="clear" w:color="auto" w:fill="E6E6E6"/>
          </w:tcPr>
          <w:p w14:paraId="2916691A"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RU</w:t>
            </w:r>
          </w:p>
        </w:tc>
        <w:tc>
          <w:tcPr>
            <w:tcW w:w="720" w:type="dxa"/>
            <w:shd w:val="clear" w:color="auto" w:fill="E6E6E6"/>
          </w:tcPr>
          <w:p w14:paraId="5BCAD9DE"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C</w:t>
            </w:r>
          </w:p>
        </w:tc>
        <w:tc>
          <w:tcPr>
            <w:tcW w:w="720" w:type="dxa"/>
            <w:shd w:val="clear" w:color="auto" w:fill="E6E6E6"/>
          </w:tcPr>
          <w:p w14:paraId="1015082C"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SC</w:t>
            </w:r>
          </w:p>
        </w:tc>
        <w:tc>
          <w:tcPr>
            <w:tcW w:w="630" w:type="dxa"/>
            <w:shd w:val="clear" w:color="auto" w:fill="E6E6E6"/>
          </w:tcPr>
          <w:p w14:paraId="11E73064"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AG</w:t>
            </w:r>
          </w:p>
        </w:tc>
      </w:tr>
      <w:tr w:rsidR="00742BE3" w:rsidRPr="00BA6536" w14:paraId="657C671D" w14:textId="77777777" w:rsidTr="00742BE3">
        <w:trPr>
          <w:trHeight w:val="320"/>
        </w:trPr>
        <w:tc>
          <w:tcPr>
            <w:tcW w:w="2160" w:type="dxa"/>
          </w:tcPr>
          <w:p w14:paraId="1F1D1D02" w14:textId="77777777" w:rsidR="00742BE3" w:rsidRPr="00BA6536" w:rsidRDefault="00742BE3" w:rsidP="00742BE3">
            <w:pPr>
              <w:spacing w:line="240" w:lineRule="atLeast"/>
              <w:rPr>
                <w:rFonts w:ascii="Palatino" w:hAnsi="Palatino"/>
                <w:sz w:val="16"/>
              </w:rPr>
            </w:pPr>
            <w:r w:rsidRPr="00BA6536">
              <w:rPr>
                <w:rFonts w:ascii="Palatino" w:hAnsi="Palatino"/>
                <w:sz w:val="16"/>
              </w:rPr>
              <w:t>Minimum lot area</w:t>
            </w:r>
          </w:p>
        </w:tc>
        <w:tc>
          <w:tcPr>
            <w:tcW w:w="720" w:type="dxa"/>
          </w:tcPr>
          <w:p w14:paraId="3AEE949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ac</w:t>
            </w:r>
          </w:p>
        </w:tc>
        <w:tc>
          <w:tcPr>
            <w:tcW w:w="630" w:type="dxa"/>
          </w:tcPr>
          <w:p w14:paraId="6DC74DE7"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ac</w:t>
            </w:r>
          </w:p>
        </w:tc>
        <w:tc>
          <w:tcPr>
            <w:tcW w:w="720" w:type="dxa"/>
          </w:tcPr>
          <w:p w14:paraId="12048A16"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ac</w:t>
            </w:r>
          </w:p>
        </w:tc>
        <w:tc>
          <w:tcPr>
            <w:tcW w:w="630" w:type="dxa"/>
          </w:tcPr>
          <w:p w14:paraId="5332288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7,500 sf</w:t>
            </w:r>
          </w:p>
        </w:tc>
        <w:tc>
          <w:tcPr>
            <w:tcW w:w="990" w:type="dxa"/>
          </w:tcPr>
          <w:p w14:paraId="4648FE1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sfr/duplex – 7,500 sf</w:t>
            </w:r>
          </w:p>
          <w:p w14:paraId="79494DD0"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 xml:space="preserve">mfr – </w:t>
            </w:r>
          </w:p>
          <w:p w14:paraId="0C3B160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11,250 sf</w:t>
            </w:r>
          </w:p>
          <w:p w14:paraId="51C7FE80"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condos – 2 ac</w:t>
            </w:r>
          </w:p>
        </w:tc>
        <w:tc>
          <w:tcPr>
            <w:tcW w:w="990" w:type="dxa"/>
          </w:tcPr>
          <w:p w14:paraId="007B620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10,000 sf</w:t>
            </w:r>
          </w:p>
          <w:p w14:paraId="186D2F44"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(&lt;10,000 sf-</w:t>
            </w:r>
          </w:p>
          <w:p w14:paraId="2FBB136E"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sfr &amp;duplex)</w:t>
            </w:r>
          </w:p>
          <w:p w14:paraId="36E52C2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condos – 20,000 sf</w:t>
            </w:r>
          </w:p>
        </w:tc>
        <w:tc>
          <w:tcPr>
            <w:tcW w:w="810" w:type="dxa"/>
          </w:tcPr>
          <w:p w14:paraId="10DAC2E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7,500 sf</w:t>
            </w:r>
          </w:p>
          <w:p w14:paraId="33749A1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condos – 20,000 sf</w:t>
            </w:r>
          </w:p>
        </w:tc>
        <w:tc>
          <w:tcPr>
            <w:tcW w:w="990" w:type="dxa"/>
          </w:tcPr>
          <w:p w14:paraId="1B496E8E"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10,000 sf</w:t>
            </w:r>
          </w:p>
          <w:p w14:paraId="6B23088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(&lt;10,000 sf-</w:t>
            </w:r>
          </w:p>
          <w:p w14:paraId="3A0A7C0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sfr &amp;duplex)</w:t>
            </w:r>
          </w:p>
          <w:p w14:paraId="3F441A4A"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 xml:space="preserve">condos – </w:t>
            </w:r>
          </w:p>
          <w:p w14:paraId="32B16040" w14:textId="77777777" w:rsidR="00742BE3" w:rsidRPr="00BA6536" w:rsidRDefault="00742BE3" w:rsidP="00742BE3">
            <w:pPr>
              <w:spacing w:line="240" w:lineRule="atLeast"/>
              <w:ind w:right="-108"/>
              <w:rPr>
                <w:rFonts w:ascii="Palatino" w:hAnsi="Palatino"/>
                <w:sz w:val="16"/>
              </w:rPr>
            </w:pPr>
            <w:r w:rsidRPr="00BA6536">
              <w:rPr>
                <w:rFonts w:ascii="Palatino" w:hAnsi="Palatino"/>
                <w:sz w:val="16"/>
              </w:rPr>
              <w:t>20,000 sf</w:t>
            </w:r>
          </w:p>
        </w:tc>
        <w:tc>
          <w:tcPr>
            <w:tcW w:w="990" w:type="dxa"/>
          </w:tcPr>
          <w:p w14:paraId="59C64925"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10,000 sf</w:t>
            </w:r>
          </w:p>
          <w:p w14:paraId="26F0FEB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(&lt;10,000 sf-</w:t>
            </w:r>
          </w:p>
          <w:p w14:paraId="06695A87"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sfr, duplex, triplex)</w:t>
            </w:r>
          </w:p>
          <w:p w14:paraId="12C2938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 xml:space="preserve">condos – </w:t>
            </w:r>
          </w:p>
          <w:p w14:paraId="4DA3965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20,000 sf</w:t>
            </w:r>
          </w:p>
        </w:tc>
        <w:tc>
          <w:tcPr>
            <w:tcW w:w="990" w:type="dxa"/>
          </w:tcPr>
          <w:p w14:paraId="17CC373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10,000 sf</w:t>
            </w:r>
          </w:p>
          <w:p w14:paraId="106F131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(&lt;10,000 sf-</w:t>
            </w:r>
          </w:p>
          <w:p w14:paraId="103D537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sfr, duplex, triplex)</w:t>
            </w:r>
          </w:p>
          <w:p w14:paraId="1BB7055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 xml:space="preserve">condos – </w:t>
            </w:r>
          </w:p>
          <w:p w14:paraId="5753EA8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20,000 sf</w:t>
            </w:r>
          </w:p>
        </w:tc>
        <w:tc>
          <w:tcPr>
            <w:tcW w:w="630" w:type="dxa"/>
          </w:tcPr>
          <w:p w14:paraId="4958879E"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720" w:type="dxa"/>
          </w:tcPr>
          <w:p w14:paraId="6457A50B"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10,000 sf</w:t>
            </w:r>
          </w:p>
        </w:tc>
        <w:tc>
          <w:tcPr>
            <w:tcW w:w="720" w:type="dxa"/>
          </w:tcPr>
          <w:p w14:paraId="11637F60"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10,000 sf</w:t>
            </w:r>
          </w:p>
        </w:tc>
        <w:tc>
          <w:tcPr>
            <w:tcW w:w="630" w:type="dxa"/>
          </w:tcPr>
          <w:p w14:paraId="311A3A5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2.5 ac but varies</w:t>
            </w:r>
          </w:p>
          <w:p w14:paraId="563C61A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 xml:space="preserve"> by area</w:t>
            </w:r>
          </w:p>
        </w:tc>
      </w:tr>
      <w:tr w:rsidR="00742BE3" w:rsidRPr="00BA6536" w14:paraId="5CD9CA7B" w14:textId="77777777" w:rsidTr="00742BE3">
        <w:trPr>
          <w:trHeight w:val="320"/>
        </w:trPr>
        <w:tc>
          <w:tcPr>
            <w:tcW w:w="2160" w:type="dxa"/>
          </w:tcPr>
          <w:p w14:paraId="708CBCFE" w14:textId="77777777" w:rsidR="00742BE3" w:rsidRPr="00BA6536" w:rsidRDefault="00742BE3" w:rsidP="00742BE3">
            <w:pPr>
              <w:spacing w:line="240" w:lineRule="atLeast"/>
              <w:rPr>
                <w:rFonts w:ascii="Palatino" w:hAnsi="Palatino"/>
                <w:sz w:val="16"/>
              </w:rPr>
            </w:pPr>
            <w:r w:rsidRPr="00BA6536">
              <w:rPr>
                <w:rFonts w:ascii="Palatino" w:hAnsi="Palatino"/>
                <w:sz w:val="16"/>
              </w:rPr>
              <w:t>Minimum district area</w:t>
            </w:r>
          </w:p>
        </w:tc>
        <w:tc>
          <w:tcPr>
            <w:tcW w:w="720" w:type="dxa"/>
          </w:tcPr>
          <w:p w14:paraId="623B46F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630" w:type="dxa"/>
          </w:tcPr>
          <w:p w14:paraId="171E8B1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720" w:type="dxa"/>
          </w:tcPr>
          <w:p w14:paraId="09CB840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630" w:type="dxa"/>
          </w:tcPr>
          <w:p w14:paraId="5F956FCA"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990" w:type="dxa"/>
          </w:tcPr>
          <w:p w14:paraId="02EE7167"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14:paraId="108127CE"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3 ac</w:t>
            </w:r>
          </w:p>
        </w:tc>
        <w:tc>
          <w:tcPr>
            <w:tcW w:w="810" w:type="dxa"/>
          </w:tcPr>
          <w:p w14:paraId="45E0C3D5"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990" w:type="dxa"/>
          </w:tcPr>
          <w:p w14:paraId="5AC5A37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990" w:type="dxa"/>
          </w:tcPr>
          <w:p w14:paraId="6B1DB57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3 ac</w:t>
            </w:r>
          </w:p>
        </w:tc>
        <w:tc>
          <w:tcPr>
            <w:tcW w:w="990" w:type="dxa"/>
          </w:tcPr>
          <w:p w14:paraId="6DC7AC3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630" w:type="dxa"/>
          </w:tcPr>
          <w:p w14:paraId="20276C84"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720" w:type="dxa"/>
          </w:tcPr>
          <w:p w14:paraId="237ABB07"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2 ac</w:t>
            </w:r>
          </w:p>
        </w:tc>
        <w:tc>
          <w:tcPr>
            <w:tcW w:w="720" w:type="dxa"/>
          </w:tcPr>
          <w:p w14:paraId="3665C26D"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3 ac</w:t>
            </w:r>
          </w:p>
        </w:tc>
        <w:tc>
          <w:tcPr>
            <w:tcW w:w="630" w:type="dxa"/>
          </w:tcPr>
          <w:p w14:paraId="78E0A2F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P</w:t>
            </w:r>
          </w:p>
        </w:tc>
      </w:tr>
      <w:tr w:rsidR="00742BE3" w:rsidRPr="00BA6536" w14:paraId="098C97BF" w14:textId="77777777" w:rsidTr="00742BE3">
        <w:trPr>
          <w:cantSplit/>
          <w:trHeight w:val="320"/>
        </w:trPr>
        <w:tc>
          <w:tcPr>
            <w:tcW w:w="2160" w:type="dxa"/>
          </w:tcPr>
          <w:p w14:paraId="2A39B337" w14:textId="77777777" w:rsidR="00742BE3" w:rsidRPr="00BA6536" w:rsidRDefault="00742BE3" w:rsidP="00742BE3">
            <w:pPr>
              <w:spacing w:line="240" w:lineRule="atLeast"/>
              <w:rPr>
                <w:rFonts w:ascii="Palatino" w:hAnsi="Palatino"/>
                <w:sz w:val="16"/>
              </w:rPr>
            </w:pPr>
            <w:r w:rsidRPr="00BA6536">
              <w:rPr>
                <w:rFonts w:ascii="Palatino" w:hAnsi="Palatino"/>
                <w:sz w:val="16"/>
              </w:rPr>
              <w:t>Lot dimensions</w:t>
            </w:r>
          </w:p>
        </w:tc>
        <w:tc>
          <w:tcPr>
            <w:tcW w:w="11160" w:type="dxa"/>
            <w:gridSpan w:val="14"/>
          </w:tcPr>
          <w:p w14:paraId="029D195B" w14:textId="77777777" w:rsidR="00742BE3" w:rsidRPr="00BA6536" w:rsidRDefault="00742BE3" w:rsidP="00742BE3">
            <w:pPr>
              <w:spacing w:line="240" w:lineRule="atLeast"/>
              <w:ind w:left="-108" w:right="-108"/>
              <w:rPr>
                <w:rFonts w:ascii="Palatino" w:hAnsi="Palatino"/>
                <w:sz w:val="16"/>
              </w:rPr>
            </w:pPr>
            <w:r w:rsidRPr="00BA6536">
              <w:rPr>
                <w:rFonts w:ascii="Palatino" w:hAnsi="Palatino"/>
                <w:sz w:val="16"/>
              </w:rPr>
              <w:t>Every lot shall have a minimum width and depth of not less than 60 feet by 100 feet unless otherwise specified in land use designation.</w:t>
            </w:r>
          </w:p>
          <w:p w14:paraId="5FE25966" w14:textId="77777777" w:rsidR="00742BE3" w:rsidRPr="00BA6536" w:rsidRDefault="00742BE3" w:rsidP="00742BE3">
            <w:pPr>
              <w:spacing w:line="240" w:lineRule="atLeast"/>
              <w:ind w:left="-108" w:right="-108"/>
              <w:rPr>
                <w:rFonts w:ascii="Palatino" w:hAnsi="Palatino"/>
                <w:sz w:val="16"/>
              </w:rPr>
            </w:pPr>
            <w:r w:rsidRPr="00BA6536">
              <w:rPr>
                <w:rFonts w:ascii="Palatino" w:hAnsi="Palatino"/>
                <w:sz w:val="16"/>
              </w:rPr>
              <w:t>The lot depth shall not exceed 3 times the lot width, unless the lot is 10 gross acres or larger in size, then a ratio of 4 to 1 is acceptable.</w:t>
            </w:r>
          </w:p>
        </w:tc>
      </w:tr>
      <w:tr w:rsidR="00742BE3" w:rsidRPr="00BA6536" w14:paraId="44D6FB64" w14:textId="77777777" w:rsidTr="00742BE3">
        <w:trPr>
          <w:trHeight w:val="320"/>
        </w:trPr>
        <w:tc>
          <w:tcPr>
            <w:tcW w:w="2160" w:type="dxa"/>
          </w:tcPr>
          <w:p w14:paraId="71A61DE6" w14:textId="77777777" w:rsidR="00742BE3" w:rsidRPr="00BA6536" w:rsidRDefault="00742BE3" w:rsidP="00742BE3">
            <w:pPr>
              <w:spacing w:line="240" w:lineRule="atLeast"/>
              <w:rPr>
                <w:rFonts w:ascii="Palatino" w:hAnsi="Palatino"/>
                <w:sz w:val="16"/>
              </w:rPr>
            </w:pPr>
            <w:r w:rsidRPr="00BA6536">
              <w:rPr>
                <w:rFonts w:ascii="Palatino" w:hAnsi="Palatino"/>
                <w:sz w:val="16"/>
              </w:rPr>
              <w:t>Lot coverage</w:t>
            </w:r>
          </w:p>
        </w:tc>
        <w:tc>
          <w:tcPr>
            <w:tcW w:w="720" w:type="dxa"/>
          </w:tcPr>
          <w:p w14:paraId="0CD6048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c>
          <w:tcPr>
            <w:tcW w:w="630" w:type="dxa"/>
          </w:tcPr>
          <w:p w14:paraId="09779DC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c>
          <w:tcPr>
            <w:tcW w:w="720" w:type="dxa"/>
          </w:tcPr>
          <w:p w14:paraId="4CEBED99"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c>
          <w:tcPr>
            <w:tcW w:w="630" w:type="dxa"/>
          </w:tcPr>
          <w:p w14:paraId="1206E36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c>
          <w:tcPr>
            <w:tcW w:w="990" w:type="dxa"/>
          </w:tcPr>
          <w:p w14:paraId="2D4F5BB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c>
          <w:tcPr>
            <w:tcW w:w="990" w:type="dxa"/>
          </w:tcPr>
          <w:p w14:paraId="587F094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60%</w:t>
            </w:r>
          </w:p>
        </w:tc>
        <w:tc>
          <w:tcPr>
            <w:tcW w:w="810" w:type="dxa"/>
          </w:tcPr>
          <w:p w14:paraId="1C9485D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60%</w:t>
            </w:r>
          </w:p>
        </w:tc>
        <w:tc>
          <w:tcPr>
            <w:tcW w:w="990" w:type="dxa"/>
          </w:tcPr>
          <w:p w14:paraId="08DEA1A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60%**</w:t>
            </w:r>
          </w:p>
        </w:tc>
        <w:tc>
          <w:tcPr>
            <w:tcW w:w="990" w:type="dxa"/>
          </w:tcPr>
          <w:p w14:paraId="5FEB7D3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60%</w:t>
            </w:r>
          </w:p>
        </w:tc>
        <w:tc>
          <w:tcPr>
            <w:tcW w:w="990" w:type="dxa"/>
          </w:tcPr>
          <w:p w14:paraId="6830B8F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60%</w:t>
            </w:r>
          </w:p>
        </w:tc>
        <w:tc>
          <w:tcPr>
            <w:tcW w:w="630" w:type="dxa"/>
          </w:tcPr>
          <w:p w14:paraId="3034EF3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w:t>
            </w:r>
          </w:p>
        </w:tc>
        <w:tc>
          <w:tcPr>
            <w:tcW w:w="720" w:type="dxa"/>
          </w:tcPr>
          <w:p w14:paraId="79C8F042"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60%</w:t>
            </w:r>
          </w:p>
        </w:tc>
        <w:tc>
          <w:tcPr>
            <w:tcW w:w="720" w:type="dxa"/>
          </w:tcPr>
          <w:p w14:paraId="2CB5FC6E"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70%</w:t>
            </w:r>
          </w:p>
        </w:tc>
        <w:tc>
          <w:tcPr>
            <w:tcW w:w="630" w:type="dxa"/>
          </w:tcPr>
          <w:p w14:paraId="5CA1C387"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40%</w:t>
            </w:r>
          </w:p>
        </w:tc>
      </w:tr>
      <w:tr w:rsidR="00742BE3" w:rsidRPr="00BA6536" w14:paraId="4830AA40" w14:textId="77777777" w:rsidTr="00742BE3">
        <w:trPr>
          <w:trHeight w:val="320"/>
        </w:trPr>
        <w:tc>
          <w:tcPr>
            <w:tcW w:w="2160" w:type="dxa"/>
          </w:tcPr>
          <w:p w14:paraId="06771402" w14:textId="77777777" w:rsidR="00742BE3" w:rsidRPr="00BA6536" w:rsidRDefault="00742BE3" w:rsidP="00742BE3">
            <w:pPr>
              <w:spacing w:line="240" w:lineRule="atLeast"/>
              <w:rPr>
                <w:rFonts w:ascii="Palatino" w:hAnsi="Palatino"/>
                <w:sz w:val="16"/>
              </w:rPr>
            </w:pPr>
            <w:r w:rsidRPr="00BA6536">
              <w:rPr>
                <w:rFonts w:ascii="Palatino" w:hAnsi="Palatino"/>
                <w:sz w:val="16"/>
              </w:rPr>
              <w:t>Maximum density</w:t>
            </w:r>
          </w:p>
        </w:tc>
        <w:tc>
          <w:tcPr>
            <w:tcW w:w="720" w:type="dxa"/>
          </w:tcPr>
          <w:p w14:paraId="21473AB0"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1du/ac</w:t>
            </w:r>
          </w:p>
        </w:tc>
        <w:tc>
          <w:tcPr>
            <w:tcW w:w="630" w:type="dxa"/>
          </w:tcPr>
          <w:p w14:paraId="44A340F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du/ac</w:t>
            </w:r>
          </w:p>
        </w:tc>
        <w:tc>
          <w:tcPr>
            <w:tcW w:w="720" w:type="dxa"/>
          </w:tcPr>
          <w:p w14:paraId="4600F596"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du/ac</w:t>
            </w:r>
          </w:p>
        </w:tc>
        <w:tc>
          <w:tcPr>
            <w:tcW w:w="630" w:type="dxa"/>
          </w:tcPr>
          <w:p w14:paraId="2DDA66DE"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5.8 du/ac</w:t>
            </w:r>
          </w:p>
        </w:tc>
        <w:tc>
          <w:tcPr>
            <w:tcW w:w="990" w:type="dxa"/>
          </w:tcPr>
          <w:p w14:paraId="2EA9114A"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11.6 du/ac</w:t>
            </w:r>
          </w:p>
        </w:tc>
        <w:tc>
          <w:tcPr>
            <w:tcW w:w="990" w:type="dxa"/>
          </w:tcPr>
          <w:p w14:paraId="27091807"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15 du/ac*</w:t>
            </w:r>
          </w:p>
        </w:tc>
        <w:tc>
          <w:tcPr>
            <w:tcW w:w="810" w:type="dxa"/>
          </w:tcPr>
          <w:p w14:paraId="22EB9DB6"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15 du/ac*</w:t>
            </w:r>
          </w:p>
        </w:tc>
        <w:tc>
          <w:tcPr>
            <w:tcW w:w="990" w:type="dxa"/>
          </w:tcPr>
          <w:p w14:paraId="440E0870"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15 du/ac*</w:t>
            </w:r>
          </w:p>
        </w:tc>
        <w:tc>
          <w:tcPr>
            <w:tcW w:w="990" w:type="dxa"/>
          </w:tcPr>
          <w:p w14:paraId="696688C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15 du/ac*</w:t>
            </w:r>
          </w:p>
        </w:tc>
        <w:tc>
          <w:tcPr>
            <w:tcW w:w="990" w:type="dxa"/>
          </w:tcPr>
          <w:p w14:paraId="1D9B11B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15 du/ac*</w:t>
            </w:r>
          </w:p>
        </w:tc>
        <w:tc>
          <w:tcPr>
            <w:tcW w:w="630" w:type="dxa"/>
          </w:tcPr>
          <w:p w14:paraId="6102786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 du/</w:t>
            </w:r>
          </w:p>
          <w:p w14:paraId="36D1339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 ac</w:t>
            </w:r>
          </w:p>
        </w:tc>
        <w:tc>
          <w:tcPr>
            <w:tcW w:w="720" w:type="dxa"/>
          </w:tcPr>
          <w:p w14:paraId="12B45E6E"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15 du/ac</w:t>
            </w:r>
          </w:p>
        </w:tc>
        <w:tc>
          <w:tcPr>
            <w:tcW w:w="720" w:type="dxa"/>
          </w:tcPr>
          <w:p w14:paraId="2C975523"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1 du/lot</w:t>
            </w:r>
          </w:p>
        </w:tc>
        <w:tc>
          <w:tcPr>
            <w:tcW w:w="630" w:type="dxa"/>
          </w:tcPr>
          <w:p w14:paraId="44A9FBE0"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Varies by area</w:t>
            </w:r>
          </w:p>
        </w:tc>
      </w:tr>
      <w:tr w:rsidR="00742BE3" w:rsidRPr="00BA6536" w14:paraId="0F073655" w14:textId="77777777" w:rsidTr="00742BE3">
        <w:trPr>
          <w:trHeight w:val="320"/>
        </w:trPr>
        <w:tc>
          <w:tcPr>
            <w:tcW w:w="2160" w:type="dxa"/>
          </w:tcPr>
          <w:p w14:paraId="0E0025FB" w14:textId="77777777" w:rsidR="00742BE3" w:rsidRPr="00BA6536" w:rsidRDefault="00742BE3" w:rsidP="00742BE3">
            <w:pPr>
              <w:spacing w:line="240" w:lineRule="atLeast"/>
              <w:rPr>
                <w:rFonts w:ascii="Palatino" w:hAnsi="Palatino"/>
                <w:sz w:val="16"/>
              </w:rPr>
            </w:pPr>
            <w:r w:rsidRPr="00BA6536">
              <w:rPr>
                <w:rFonts w:ascii="Palatino" w:hAnsi="Palatino"/>
                <w:sz w:val="16"/>
              </w:rPr>
              <w:t>Secondary dwelling unit</w:t>
            </w:r>
          </w:p>
        </w:tc>
        <w:tc>
          <w:tcPr>
            <w:tcW w:w="720" w:type="dxa"/>
          </w:tcPr>
          <w:p w14:paraId="36BDC1A9"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630" w:type="dxa"/>
          </w:tcPr>
          <w:p w14:paraId="28BB421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720" w:type="dxa"/>
          </w:tcPr>
          <w:p w14:paraId="32E25F91"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630" w:type="dxa"/>
          </w:tcPr>
          <w:p w14:paraId="31790BE7"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990" w:type="dxa"/>
          </w:tcPr>
          <w:p w14:paraId="0BCA68A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14:paraId="6F1E5A76"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810" w:type="dxa"/>
          </w:tcPr>
          <w:p w14:paraId="7A8141B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14:paraId="4BC4375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14:paraId="418C07A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990" w:type="dxa"/>
          </w:tcPr>
          <w:p w14:paraId="340E85F5"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w:t>
            </w:r>
          </w:p>
        </w:tc>
        <w:tc>
          <w:tcPr>
            <w:tcW w:w="630" w:type="dxa"/>
          </w:tcPr>
          <w:p w14:paraId="2C35DE3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c>
          <w:tcPr>
            <w:tcW w:w="720" w:type="dxa"/>
          </w:tcPr>
          <w:p w14:paraId="299BF35A"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w:t>
            </w:r>
          </w:p>
        </w:tc>
        <w:tc>
          <w:tcPr>
            <w:tcW w:w="720" w:type="dxa"/>
          </w:tcPr>
          <w:p w14:paraId="5ED37CB7"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DR</w:t>
            </w:r>
          </w:p>
        </w:tc>
        <w:tc>
          <w:tcPr>
            <w:tcW w:w="630" w:type="dxa"/>
          </w:tcPr>
          <w:p w14:paraId="72645B15"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DR</w:t>
            </w:r>
          </w:p>
        </w:tc>
      </w:tr>
      <w:tr w:rsidR="00742BE3" w:rsidRPr="00BA6536" w14:paraId="7A6359B4" w14:textId="77777777" w:rsidTr="00742BE3">
        <w:trPr>
          <w:cantSplit/>
          <w:trHeight w:val="320"/>
        </w:trPr>
        <w:tc>
          <w:tcPr>
            <w:tcW w:w="2160" w:type="dxa"/>
          </w:tcPr>
          <w:p w14:paraId="22BC1E8B" w14:textId="77777777" w:rsidR="00742BE3" w:rsidRPr="00BA6536" w:rsidRDefault="00742BE3" w:rsidP="00742BE3">
            <w:pPr>
              <w:spacing w:line="240" w:lineRule="atLeast"/>
              <w:rPr>
                <w:rFonts w:ascii="Palatino" w:hAnsi="Palatino"/>
                <w:sz w:val="16"/>
              </w:rPr>
            </w:pPr>
            <w:r w:rsidRPr="00BA6536">
              <w:rPr>
                <w:rFonts w:ascii="Palatino" w:hAnsi="Palatino"/>
                <w:sz w:val="16"/>
              </w:rPr>
              <w:t>Building height</w:t>
            </w:r>
          </w:p>
        </w:tc>
        <w:tc>
          <w:tcPr>
            <w:tcW w:w="11160" w:type="dxa"/>
            <w:gridSpan w:val="14"/>
          </w:tcPr>
          <w:p w14:paraId="25EC6ECC" w14:textId="77777777" w:rsidR="00742BE3" w:rsidRPr="00BA6536" w:rsidRDefault="00742BE3" w:rsidP="00742BE3">
            <w:pPr>
              <w:spacing w:line="240" w:lineRule="atLeast"/>
              <w:ind w:left="-108" w:right="-108"/>
              <w:rPr>
                <w:rFonts w:ascii="Palatino" w:hAnsi="Palatino"/>
                <w:sz w:val="16"/>
              </w:rPr>
            </w:pPr>
            <w:r w:rsidRPr="00BA6536">
              <w:rPr>
                <w:rFonts w:ascii="Palatino" w:hAnsi="Palatino"/>
                <w:sz w:val="16"/>
              </w:rPr>
              <w:t>No greater than 35 feet measured from grade (natural grade or finished grade whichever is more restrictive). Sloping lots on the downhill side of a street – height may increase not to exceed a maximum of 20 feet above centerline of adjacent street. Multifamily projects with entire floor area devoted to underground parking – height of building = vertical distance from ceiling of parking to topmost point of the building. Height of residential development may increase to a maximum of 45 feet if side and rear yards are increased one foot in width for each foot of height over 35 feet.</w:t>
            </w:r>
          </w:p>
        </w:tc>
      </w:tr>
      <w:tr w:rsidR="00742BE3" w:rsidRPr="00BA6536" w14:paraId="33FA9DFD" w14:textId="77777777" w:rsidTr="00742BE3">
        <w:trPr>
          <w:trHeight w:val="320"/>
        </w:trPr>
        <w:tc>
          <w:tcPr>
            <w:tcW w:w="2160" w:type="dxa"/>
          </w:tcPr>
          <w:p w14:paraId="5075472D" w14:textId="77777777" w:rsidR="00742BE3" w:rsidRPr="00BA6536" w:rsidRDefault="00742BE3" w:rsidP="00742BE3">
            <w:pPr>
              <w:spacing w:line="240" w:lineRule="atLeast"/>
              <w:rPr>
                <w:rFonts w:ascii="Palatino" w:hAnsi="Palatino"/>
                <w:sz w:val="16"/>
              </w:rPr>
            </w:pPr>
            <w:r w:rsidRPr="00BA6536">
              <w:rPr>
                <w:rFonts w:ascii="Palatino" w:hAnsi="Palatino"/>
                <w:sz w:val="16"/>
              </w:rPr>
              <w:t>Front yard</w:t>
            </w:r>
          </w:p>
        </w:tc>
        <w:tc>
          <w:tcPr>
            <w:tcW w:w="720" w:type="dxa"/>
          </w:tcPr>
          <w:p w14:paraId="3E385BB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50'</w:t>
            </w:r>
          </w:p>
        </w:tc>
        <w:tc>
          <w:tcPr>
            <w:tcW w:w="630" w:type="dxa"/>
          </w:tcPr>
          <w:p w14:paraId="1322870C"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50'</w:t>
            </w:r>
          </w:p>
        </w:tc>
        <w:tc>
          <w:tcPr>
            <w:tcW w:w="720" w:type="dxa"/>
          </w:tcPr>
          <w:p w14:paraId="2EA3807F"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50'</w:t>
            </w:r>
          </w:p>
        </w:tc>
        <w:tc>
          <w:tcPr>
            <w:tcW w:w="630" w:type="dxa"/>
          </w:tcPr>
          <w:p w14:paraId="51855743"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w:t>
            </w:r>
          </w:p>
        </w:tc>
        <w:tc>
          <w:tcPr>
            <w:tcW w:w="990" w:type="dxa"/>
          </w:tcPr>
          <w:p w14:paraId="037177F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w:t>
            </w:r>
          </w:p>
        </w:tc>
        <w:tc>
          <w:tcPr>
            <w:tcW w:w="990" w:type="dxa"/>
          </w:tcPr>
          <w:p w14:paraId="3314E5C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w:t>
            </w:r>
          </w:p>
        </w:tc>
        <w:tc>
          <w:tcPr>
            <w:tcW w:w="810" w:type="dxa"/>
          </w:tcPr>
          <w:p w14:paraId="43C0A87D"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20'</w:t>
            </w:r>
          </w:p>
        </w:tc>
        <w:tc>
          <w:tcPr>
            <w:tcW w:w="990" w:type="dxa"/>
          </w:tcPr>
          <w:p w14:paraId="510C9408"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w:t>
            </w:r>
          </w:p>
        </w:tc>
        <w:tc>
          <w:tcPr>
            <w:tcW w:w="990" w:type="dxa"/>
          </w:tcPr>
          <w:p w14:paraId="6A97E1D4"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w:t>
            </w:r>
          </w:p>
        </w:tc>
        <w:tc>
          <w:tcPr>
            <w:tcW w:w="990" w:type="dxa"/>
          </w:tcPr>
          <w:p w14:paraId="5FBF639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10'</w:t>
            </w:r>
          </w:p>
        </w:tc>
        <w:tc>
          <w:tcPr>
            <w:tcW w:w="630" w:type="dxa"/>
          </w:tcPr>
          <w:p w14:paraId="4C5BC4E9"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30'</w:t>
            </w:r>
          </w:p>
        </w:tc>
        <w:tc>
          <w:tcPr>
            <w:tcW w:w="720" w:type="dxa"/>
          </w:tcPr>
          <w:p w14:paraId="779DF58F"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10'</w:t>
            </w:r>
          </w:p>
        </w:tc>
        <w:tc>
          <w:tcPr>
            <w:tcW w:w="720" w:type="dxa"/>
          </w:tcPr>
          <w:p w14:paraId="01E263C4" w14:textId="77777777" w:rsidR="00742BE3" w:rsidRPr="00BA6536" w:rsidRDefault="00742BE3" w:rsidP="00742BE3">
            <w:pPr>
              <w:spacing w:line="240" w:lineRule="atLeast"/>
              <w:jc w:val="center"/>
              <w:rPr>
                <w:rFonts w:ascii="Palatino" w:hAnsi="Palatino"/>
                <w:sz w:val="16"/>
              </w:rPr>
            </w:pPr>
            <w:r w:rsidRPr="00BA6536">
              <w:rPr>
                <w:rFonts w:ascii="Palatino" w:hAnsi="Palatino"/>
                <w:sz w:val="16"/>
              </w:rPr>
              <w:t>10'</w:t>
            </w:r>
          </w:p>
        </w:tc>
        <w:tc>
          <w:tcPr>
            <w:tcW w:w="630" w:type="dxa"/>
          </w:tcPr>
          <w:p w14:paraId="651A1092" w14:textId="77777777" w:rsidR="00742BE3" w:rsidRPr="00BA6536" w:rsidRDefault="00742BE3" w:rsidP="00742BE3">
            <w:pPr>
              <w:spacing w:line="240" w:lineRule="atLeast"/>
              <w:ind w:left="-108" w:right="-108"/>
              <w:jc w:val="center"/>
              <w:rPr>
                <w:rFonts w:ascii="Palatino" w:hAnsi="Palatino"/>
                <w:sz w:val="16"/>
              </w:rPr>
            </w:pPr>
            <w:r w:rsidRPr="00BA6536">
              <w:rPr>
                <w:rFonts w:ascii="Palatino" w:hAnsi="Palatino"/>
                <w:sz w:val="16"/>
              </w:rPr>
              <w:t>50'</w:t>
            </w:r>
          </w:p>
        </w:tc>
      </w:tr>
      <w:tr w:rsidR="00742BE3" w:rsidRPr="00BA6536" w14:paraId="21799A23" w14:textId="77777777" w:rsidTr="00742BE3">
        <w:trPr>
          <w:cantSplit/>
          <w:trHeight w:val="320"/>
        </w:trPr>
        <w:tc>
          <w:tcPr>
            <w:tcW w:w="2160" w:type="dxa"/>
          </w:tcPr>
          <w:p w14:paraId="308BC170" w14:textId="77777777" w:rsidR="00742BE3" w:rsidRPr="00BA6536" w:rsidRDefault="00742BE3" w:rsidP="00742BE3">
            <w:pPr>
              <w:spacing w:line="240" w:lineRule="atLeast"/>
              <w:rPr>
                <w:rFonts w:ascii="Palatino" w:hAnsi="Palatino"/>
                <w:sz w:val="16"/>
              </w:rPr>
            </w:pPr>
            <w:r w:rsidRPr="00BA6536">
              <w:rPr>
                <w:rFonts w:ascii="Palatino" w:hAnsi="Palatino"/>
                <w:sz w:val="16"/>
              </w:rPr>
              <w:t>Rear yard</w:t>
            </w:r>
          </w:p>
        </w:tc>
        <w:tc>
          <w:tcPr>
            <w:tcW w:w="11160" w:type="dxa"/>
            <w:gridSpan w:val="14"/>
          </w:tcPr>
          <w:p w14:paraId="7C88A6F2" w14:textId="77777777" w:rsidR="00742BE3" w:rsidRPr="00BA6536" w:rsidRDefault="00742BE3" w:rsidP="00742BE3">
            <w:pPr>
              <w:spacing w:line="240" w:lineRule="atLeast"/>
              <w:ind w:left="-108" w:right="-108"/>
              <w:rPr>
                <w:rFonts w:ascii="Palatino" w:hAnsi="Palatino"/>
                <w:sz w:val="16"/>
              </w:rPr>
            </w:pPr>
            <w:r w:rsidRPr="00BA6536">
              <w:rPr>
                <w:rFonts w:ascii="Palatino" w:hAnsi="Palatino"/>
                <w:sz w:val="16"/>
              </w:rPr>
              <w:t>10 feet in all districts except where Fire Safe Requirements require 30 foot setbacks for parcels one acre or larger (Fire Safe Requirements apply in all the unincorporated area except the Antelope Valley). MU, CL-M, CL-H, C and SC have 5' rear setback.</w:t>
            </w:r>
          </w:p>
        </w:tc>
      </w:tr>
      <w:tr w:rsidR="00742BE3" w:rsidRPr="00BA6536" w14:paraId="0BE0DFAB" w14:textId="77777777" w:rsidTr="00742BE3">
        <w:trPr>
          <w:cantSplit/>
          <w:trHeight w:val="320"/>
        </w:trPr>
        <w:tc>
          <w:tcPr>
            <w:tcW w:w="2160" w:type="dxa"/>
          </w:tcPr>
          <w:p w14:paraId="511AECE2" w14:textId="77777777" w:rsidR="00742BE3" w:rsidRPr="00BA6536" w:rsidRDefault="00742BE3" w:rsidP="00742BE3">
            <w:pPr>
              <w:spacing w:line="240" w:lineRule="atLeast"/>
              <w:rPr>
                <w:rFonts w:ascii="Palatino" w:hAnsi="Palatino"/>
                <w:sz w:val="16"/>
              </w:rPr>
            </w:pPr>
            <w:r w:rsidRPr="00BA6536">
              <w:rPr>
                <w:rFonts w:ascii="Palatino" w:hAnsi="Palatino"/>
                <w:sz w:val="16"/>
              </w:rPr>
              <w:t>Side yards</w:t>
            </w:r>
          </w:p>
        </w:tc>
        <w:tc>
          <w:tcPr>
            <w:tcW w:w="11160" w:type="dxa"/>
            <w:gridSpan w:val="14"/>
          </w:tcPr>
          <w:p w14:paraId="10FE6E79" w14:textId="77777777" w:rsidR="00742BE3" w:rsidRPr="00BA6536" w:rsidRDefault="00742BE3" w:rsidP="00742BE3">
            <w:pPr>
              <w:spacing w:line="240" w:lineRule="atLeast"/>
              <w:ind w:left="-108" w:right="-108"/>
              <w:rPr>
                <w:rFonts w:ascii="Palatino" w:hAnsi="Palatino"/>
                <w:sz w:val="16"/>
              </w:rPr>
            </w:pPr>
            <w:r w:rsidRPr="00BA6536">
              <w:rPr>
                <w:rFonts w:ascii="Palatino" w:hAnsi="Palatino"/>
                <w:sz w:val="16"/>
              </w:rPr>
              <w:t>Above 7000' elevation – 10 feet. Below 7000' elevation –  one side yard of 10' and one side yard of 5'. Except where Fire Safe Requirements require 30 foot setbacks for parcels one acre or larger. MU, CL-M, CL-H, C and SC have 0 side setback excepting when abutting residential district, then it is 10'.</w:t>
            </w:r>
          </w:p>
        </w:tc>
      </w:tr>
      <w:tr w:rsidR="00742BE3" w:rsidRPr="00BA6536" w14:paraId="4FB732F2" w14:textId="77777777" w:rsidTr="00742BE3">
        <w:trPr>
          <w:cantSplit/>
          <w:trHeight w:val="320"/>
        </w:trPr>
        <w:tc>
          <w:tcPr>
            <w:tcW w:w="2160" w:type="dxa"/>
          </w:tcPr>
          <w:p w14:paraId="4CF15014" w14:textId="77777777" w:rsidR="00742BE3" w:rsidRPr="00BA6536" w:rsidRDefault="00742BE3" w:rsidP="00742BE3">
            <w:pPr>
              <w:spacing w:line="240" w:lineRule="atLeast"/>
              <w:rPr>
                <w:rFonts w:ascii="Palatino" w:hAnsi="Palatino"/>
                <w:sz w:val="16"/>
              </w:rPr>
            </w:pPr>
            <w:r w:rsidRPr="00BA6536">
              <w:rPr>
                <w:rFonts w:ascii="Palatino" w:hAnsi="Palatino"/>
                <w:sz w:val="16"/>
              </w:rPr>
              <w:t>Special yard requirements</w:t>
            </w:r>
          </w:p>
        </w:tc>
        <w:tc>
          <w:tcPr>
            <w:tcW w:w="11160" w:type="dxa"/>
            <w:gridSpan w:val="14"/>
          </w:tcPr>
          <w:p w14:paraId="6099E881" w14:textId="77777777" w:rsidR="00742BE3" w:rsidRPr="00BA6536" w:rsidRDefault="00742BE3" w:rsidP="00742BE3">
            <w:pPr>
              <w:spacing w:line="240" w:lineRule="atLeast"/>
              <w:ind w:left="-108" w:right="-108"/>
              <w:rPr>
                <w:rFonts w:ascii="Palatino" w:hAnsi="Palatino"/>
                <w:sz w:val="16"/>
              </w:rPr>
            </w:pPr>
            <w:r w:rsidRPr="00BA6536">
              <w:rPr>
                <w:rFonts w:ascii="Palatino" w:hAnsi="Palatino"/>
                <w:sz w:val="16"/>
              </w:rPr>
              <w:t>Double frontage lots – front yard setbacks on both frontages. Stream setbacks from any stream or lake – a minimum of 30 feet from the top of the bank.</w:t>
            </w:r>
          </w:p>
          <w:p w14:paraId="0B798385" w14:textId="77777777" w:rsidR="00742BE3" w:rsidRPr="00BA6536" w:rsidRDefault="00742BE3" w:rsidP="00742BE3">
            <w:pPr>
              <w:spacing w:line="240" w:lineRule="atLeast"/>
              <w:ind w:left="-108" w:right="-108"/>
              <w:rPr>
                <w:rFonts w:ascii="Palatino" w:hAnsi="Palatino"/>
                <w:sz w:val="16"/>
              </w:rPr>
            </w:pPr>
            <w:r w:rsidRPr="00BA6536">
              <w:rPr>
                <w:rFonts w:ascii="Palatino" w:hAnsi="Palatino"/>
                <w:sz w:val="16"/>
              </w:rPr>
              <w:t>Fire Safe Requirements – 30 foot setbacks on all sides for parcels one acre or larger where required.</w:t>
            </w:r>
          </w:p>
        </w:tc>
      </w:tr>
      <w:tr w:rsidR="00742BE3" w:rsidRPr="00BA6536" w14:paraId="5B307FBF" w14:textId="77777777" w:rsidTr="00742BE3">
        <w:trPr>
          <w:cantSplit/>
          <w:trHeight w:val="320"/>
        </w:trPr>
        <w:tc>
          <w:tcPr>
            <w:tcW w:w="2160" w:type="dxa"/>
          </w:tcPr>
          <w:p w14:paraId="422A5F81" w14:textId="77777777" w:rsidR="00742BE3" w:rsidRPr="00BA6536" w:rsidRDefault="00742BE3" w:rsidP="00742BE3">
            <w:pPr>
              <w:spacing w:line="240" w:lineRule="atLeast"/>
              <w:rPr>
                <w:rFonts w:ascii="Palatino" w:hAnsi="Palatino"/>
                <w:sz w:val="16"/>
              </w:rPr>
            </w:pPr>
            <w:r w:rsidRPr="00BA6536">
              <w:rPr>
                <w:rFonts w:ascii="Palatino" w:hAnsi="Palatino"/>
                <w:sz w:val="16"/>
              </w:rPr>
              <w:t>Parking</w:t>
            </w:r>
          </w:p>
        </w:tc>
        <w:tc>
          <w:tcPr>
            <w:tcW w:w="11160" w:type="dxa"/>
            <w:gridSpan w:val="14"/>
          </w:tcPr>
          <w:p w14:paraId="6E9EBFC9" w14:textId="77777777" w:rsidR="00742BE3" w:rsidRPr="00BA6536" w:rsidRDefault="00742BE3" w:rsidP="00742BE3">
            <w:pPr>
              <w:spacing w:line="240" w:lineRule="atLeast"/>
              <w:ind w:left="-108" w:right="-108"/>
              <w:rPr>
                <w:rFonts w:ascii="Palatino" w:hAnsi="Palatino"/>
                <w:sz w:val="16"/>
              </w:rPr>
            </w:pPr>
            <w:r w:rsidRPr="00BA6536">
              <w:rPr>
                <w:rFonts w:ascii="Palatino" w:hAnsi="Palatino"/>
                <w:sz w:val="16"/>
              </w:rPr>
              <w:t>2 spaces per dwelling unit except in June Lake where 3 spaces are required. Multiple family units require 2 spaces for manager's units and guest parking based on the number of units in the project.</w:t>
            </w:r>
          </w:p>
        </w:tc>
      </w:tr>
      <w:tr w:rsidR="00742BE3" w:rsidRPr="00BA6536" w14:paraId="4AB930C0" w14:textId="77777777" w:rsidTr="00742BE3">
        <w:trPr>
          <w:cantSplit/>
          <w:trHeight w:val="320"/>
        </w:trPr>
        <w:tc>
          <w:tcPr>
            <w:tcW w:w="13320" w:type="dxa"/>
            <w:gridSpan w:val="15"/>
          </w:tcPr>
          <w:p w14:paraId="6EA1BACB"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Some of these designations allow uses other than residential uses. This table addresses only residential development standards for each designation.</w:t>
            </w:r>
          </w:p>
          <w:p w14:paraId="4D87F9FA"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UP = Secondary unit allowed with Use Permit.    DR= Secondary unit allowed with Use Permit.     DU = dwelling unit          sf = square feet</w:t>
            </w:r>
          </w:p>
          <w:p w14:paraId="748DCBF3"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 Density bonuses available in MFR-M,  MFR-H, MU, CL-M and CL-H for affordable housing and enclosed, covered parking. Maximum density with bonuses is 26 du/ac.</w:t>
            </w:r>
          </w:p>
          <w:p w14:paraId="7ED62B33"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**Lot coverage can increase to 70% for structures that contain commercial and residential uses.</w:t>
            </w:r>
          </w:p>
          <w:p w14:paraId="79444287" w14:textId="77777777" w:rsidR="00742BE3" w:rsidRPr="00BA6536" w:rsidRDefault="00742BE3" w:rsidP="00742BE3">
            <w:pPr>
              <w:spacing w:line="240" w:lineRule="atLeast"/>
              <w:jc w:val="both"/>
              <w:rPr>
                <w:rFonts w:ascii="Palatino" w:hAnsi="Palatino"/>
                <w:sz w:val="16"/>
              </w:rPr>
            </w:pPr>
            <w:r w:rsidRPr="00BA6536">
              <w:rPr>
                <w:rFonts w:ascii="Palatino" w:hAnsi="Palatino"/>
                <w:sz w:val="16"/>
              </w:rPr>
              <w:t>Source:  Mono County General Plan, Land Use Element, Land Use Designations and Land Development Regulations.</w:t>
            </w:r>
          </w:p>
        </w:tc>
      </w:tr>
    </w:tbl>
    <w:p w14:paraId="3D900B65" w14:textId="77777777" w:rsidR="00742BE3" w:rsidRPr="00BA6536" w:rsidRDefault="00742BE3" w:rsidP="00742BE3">
      <w:pPr>
        <w:widowControl w:val="0"/>
        <w:autoSpaceDE w:val="0"/>
        <w:autoSpaceDN w:val="0"/>
        <w:adjustRightInd w:val="0"/>
        <w:spacing w:after="0" w:line="280" w:lineRule="atLeast"/>
        <w:jc w:val="both"/>
        <w:rPr>
          <w:rFonts w:eastAsia="Times New Roman" w:cs="Arial"/>
          <w:lang w:bidi="en-US"/>
        </w:rPr>
      </w:pPr>
    </w:p>
    <w:p w14:paraId="5A11ECC5" w14:textId="77777777" w:rsidR="00742BE3" w:rsidRPr="00BA6536" w:rsidRDefault="00742BE3" w:rsidP="00F01804">
      <w:pPr>
        <w:spacing w:line="280" w:lineRule="atLeast"/>
        <w:jc w:val="both"/>
        <w:rPr>
          <w:rFonts w:eastAsia="Times New Roman" w:cs="Times New Roman"/>
        </w:rPr>
      </w:pPr>
    </w:p>
    <w:p w14:paraId="7CB51B8D" w14:textId="77777777" w:rsidR="00742BE3" w:rsidRPr="00BA6536" w:rsidRDefault="00742BE3" w:rsidP="00F01804">
      <w:pPr>
        <w:spacing w:line="280" w:lineRule="atLeast"/>
        <w:jc w:val="both"/>
        <w:rPr>
          <w:rFonts w:eastAsia="Times New Roman" w:cs="Times New Roman"/>
        </w:rPr>
      </w:pPr>
    </w:p>
    <w:p w14:paraId="4AEEF632" w14:textId="77777777" w:rsidR="00F01804" w:rsidRPr="00BA6536" w:rsidRDefault="002E1FEA" w:rsidP="003D5E81">
      <w:pPr>
        <w:pStyle w:val="Heading3"/>
      </w:pPr>
      <w:bookmarkStart w:id="190" w:name="_Toc383700030"/>
      <w:r>
        <w:t xml:space="preserve">b. </w:t>
      </w:r>
      <w:r w:rsidR="00F01804" w:rsidRPr="00BA6536">
        <w:t>LAND USE REQUIREMENTS IMPOSED BY OTHER AGENCIES</w:t>
      </w:r>
      <w:bookmarkEnd w:id="190"/>
      <w:r w:rsidR="00F01804" w:rsidRPr="00BA6536">
        <w:fldChar w:fldCharType="begin"/>
      </w:r>
      <w:r w:rsidR="00F01804" w:rsidRPr="00BA6536">
        <w:instrText xml:space="preserve"> TC"</w:instrText>
      </w:r>
      <w:bookmarkStart w:id="191" w:name="_Toc53806472"/>
      <w:bookmarkStart w:id="192" w:name="_Toc66156064"/>
      <w:bookmarkStart w:id="193" w:name="_Toc76443985"/>
      <w:bookmarkStart w:id="194" w:name="_Toc123887124"/>
      <w:r w:rsidR="00F01804" w:rsidRPr="00BA6536">
        <w:instrText>Land Use Requirements Imposed by Other Agencies</w:instrText>
      </w:r>
      <w:bookmarkEnd w:id="191"/>
      <w:bookmarkEnd w:id="192"/>
      <w:bookmarkEnd w:id="193"/>
      <w:bookmarkEnd w:id="194"/>
      <w:r w:rsidR="00F01804" w:rsidRPr="00BA6536">
        <w:instrText xml:space="preserve">"\l 3 </w:instrText>
      </w:r>
      <w:r w:rsidR="00F01804" w:rsidRPr="00BA6536">
        <w:fldChar w:fldCharType="end"/>
      </w:r>
    </w:p>
    <w:p w14:paraId="4C67AD50" w14:textId="77777777" w:rsidR="00F01804" w:rsidRPr="00BA6536" w:rsidRDefault="00F01804" w:rsidP="00F01804">
      <w:pPr>
        <w:spacing w:before="240" w:after="0" w:line="280" w:lineRule="atLeast"/>
        <w:jc w:val="both"/>
        <w:rPr>
          <w:rFonts w:eastAsia="Times New Roman" w:cs="Times New Roman"/>
        </w:rPr>
      </w:pPr>
      <w:r w:rsidRPr="00BA6536">
        <w:rPr>
          <w:rFonts w:eastAsia="Times New Roman" w:cs="Times New Roman"/>
        </w:rPr>
        <w:t>A number of other agencies impose land use controls that affect development in Mono County. These regulations may constrain development by affecting the location and/or cost of development.</w:t>
      </w:r>
    </w:p>
    <w:p w14:paraId="4070A50A" w14:textId="77777777" w:rsidR="00F01804" w:rsidRPr="00BA6536" w:rsidRDefault="00F01804" w:rsidP="00F01804">
      <w:pPr>
        <w:spacing w:after="0" w:line="280" w:lineRule="atLeast"/>
        <w:jc w:val="both"/>
        <w:rPr>
          <w:rFonts w:eastAsia="Times New Roman" w:cs="Times New Roman"/>
        </w:rPr>
      </w:pPr>
    </w:p>
    <w:p w14:paraId="3C783558" w14:textId="77777777"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Southern California Edison (SCE) has 115 kv transmission power lines that run through portions of Crowley Lake, June Lake, and Lee Vining. Development is prohibited within a 70-foot easement under the power lines. SCE works directly with the developer or builder to resolve potential conflicts.</w:t>
      </w:r>
    </w:p>
    <w:p w14:paraId="6AA33A19" w14:textId="77777777" w:rsidR="00F01804" w:rsidRPr="00BA6536" w:rsidRDefault="00F01804" w:rsidP="00F01804">
      <w:pPr>
        <w:spacing w:after="0" w:line="280" w:lineRule="atLeast"/>
        <w:jc w:val="both"/>
        <w:rPr>
          <w:rFonts w:eastAsia="Times New Roman" w:cs="Times New Roman"/>
        </w:rPr>
      </w:pPr>
    </w:p>
    <w:p w14:paraId="12F8B5B7" w14:textId="77777777"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The Lahontan Regional Water Quality Control Board (RWQCB) regulates the placement of septic systems. Recent changes in the RWQCB’s water quality regulations have set a maximum of two dwelling units per acre in areas that have community water systems but which require individual septic systems. As a result, the minimum lot size in such situations is slightly over 20,000 square feet. The minimum lot size when both individual septic and water systems are required is 40,000 square feet. In some areas in the County where individual lots are 7,500 square feet or smaller, these requirements essentially make it necessary to have more than one lot to build a house. Densities over one dwelling unit per acre are dependent on the availability of community water and sewer services. As a result, the maximum allowable buildout is unlikely to occur on parcels with designations that allow multifamily residential development.</w:t>
      </w:r>
    </w:p>
    <w:p w14:paraId="6A5FDEC8" w14:textId="77777777" w:rsidR="00F01804" w:rsidRPr="00BA6536" w:rsidRDefault="00F01804" w:rsidP="00F01804">
      <w:pPr>
        <w:spacing w:after="0" w:line="280" w:lineRule="atLeast"/>
        <w:jc w:val="both"/>
        <w:rPr>
          <w:rFonts w:eastAsia="Times New Roman" w:cs="Times New Roman"/>
        </w:rPr>
      </w:pPr>
    </w:p>
    <w:p w14:paraId="7AF28C6C" w14:textId="77777777"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The U.S. Army Corps of Engineers regulates development in wetland areas. All development in wetland areas will be reviewed by the Corps and may require a permit. Wetland areas occur throughout the unincorporated area, both within and outside community areas.</w:t>
      </w:r>
    </w:p>
    <w:p w14:paraId="46020F68" w14:textId="77777777" w:rsidR="00F01804" w:rsidRPr="00BA6536" w:rsidRDefault="00F01804" w:rsidP="00F01804">
      <w:pPr>
        <w:spacing w:after="0" w:line="280" w:lineRule="atLeast"/>
        <w:jc w:val="both"/>
        <w:rPr>
          <w:rFonts w:eastAsia="Times New Roman" w:cs="Times New Roman"/>
        </w:rPr>
      </w:pPr>
    </w:p>
    <w:p w14:paraId="5815F281" w14:textId="77777777"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The California Department of Fish and Game (DFG) reviews development proposals in Mono County, including subdivisions and land divisions, and may require changes to the project or conditions of approval if the project will affect wildlife resources. For projects that will affect streams, the DFG requires a Stream Alteration Permit. The DFG imposes a fee for review of environmental documents (Negative Declarations or EIRs) unless County decision-makers determine that the project will have a de minimis effect on wildlife or wildlife habitat.</w:t>
      </w:r>
    </w:p>
    <w:p w14:paraId="5D052404" w14:textId="77777777" w:rsidR="00F01804" w:rsidRPr="00BA6536" w:rsidRDefault="00F01804" w:rsidP="00F01804">
      <w:pPr>
        <w:spacing w:after="0" w:line="280" w:lineRule="atLeast"/>
        <w:jc w:val="both"/>
        <w:rPr>
          <w:rFonts w:eastAsia="Times New Roman" w:cs="Times New Roman"/>
        </w:rPr>
      </w:pPr>
    </w:p>
    <w:p w14:paraId="29438F89" w14:textId="77777777" w:rsidR="00F01804" w:rsidRPr="00BA6536" w:rsidRDefault="002E1FEA" w:rsidP="003D5E81">
      <w:pPr>
        <w:pStyle w:val="Heading3"/>
      </w:pPr>
      <w:bookmarkStart w:id="195" w:name="_Toc383700031"/>
      <w:r>
        <w:t xml:space="preserve">c. </w:t>
      </w:r>
      <w:r w:rsidR="00F01804" w:rsidRPr="00BA6536">
        <w:t>CODES AND ENFORCEMENT</w:t>
      </w:r>
      <w:bookmarkEnd w:id="195"/>
      <w:r w:rsidR="00F01804" w:rsidRPr="00BA6536">
        <w:fldChar w:fldCharType="begin"/>
      </w:r>
      <w:r w:rsidR="00F01804" w:rsidRPr="00BA6536">
        <w:instrText xml:space="preserve"> TC"</w:instrText>
      </w:r>
      <w:bookmarkStart w:id="196" w:name="_Toc53806473"/>
      <w:bookmarkStart w:id="197" w:name="_Toc66156065"/>
      <w:bookmarkStart w:id="198" w:name="_Toc76443986"/>
      <w:bookmarkStart w:id="199" w:name="_Toc123887125"/>
      <w:r w:rsidR="00F01804" w:rsidRPr="00BA6536">
        <w:instrText>Codes and Enforcement</w:instrText>
      </w:r>
      <w:bookmarkEnd w:id="196"/>
      <w:bookmarkEnd w:id="197"/>
      <w:bookmarkEnd w:id="198"/>
      <w:bookmarkEnd w:id="199"/>
      <w:r w:rsidR="00F01804" w:rsidRPr="00BA6536">
        <w:instrText xml:space="preserve">"\l 3 </w:instrText>
      </w:r>
      <w:r w:rsidR="00F01804" w:rsidRPr="00BA6536">
        <w:fldChar w:fldCharType="end"/>
      </w:r>
    </w:p>
    <w:p w14:paraId="1FE64BB2" w14:textId="77777777"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The Mono County Building Division currently enforces the following codes:</w:t>
      </w:r>
    </w:p>
    <w:p w14:paraId="60F2A5BB" w14:textId="77777777" w:rsidR="00F01804" w:rsidRPr="00BA6536" w:rsidRDefault="00F01804" w:rsidP="00F01804">
      <w:pPr>
        <w:spacing w:after="0" w:line="280" w:lineRule="atLeast"/>
        <w:jc w:val="both"/>
        <w:rPr>
          <w:rFonts w:eastAsia="Times New Roman" w:cs="Times New Roman"/>
        </w:rPr>
      </w:pPr>
    </w:p>
    <w:p w14:paraId="57CCEE5E" w14:textId="77777777"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a.</w:t>
      </w:r>
      <w:r w:rsidRPr="00BA6536">
        <w:rPr>
          <w:rFonts w:eastAsia="Times New Roman" w:cs="Helvetica"/>
          <w:lang w:bidi="en-US"/>
        </w:rPr>
        <w:tab/>
        <w:t>2013 California Administrative Code</w:t>
      </w:r>
    </w:p>
    <w:p w14:paraId="6BE17A84" w14:textId="77777777"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b.</w:t>
      </w:r>
      <w:r w:rsidRPr="00BA6536">
        <w:rPr>
          <w:rFonts w:eastAsia="Times New Roman" w:cs="Helvetica"/>
          <w:lang w:bidi="en-US"/>
        </w:rPr>
        <w:tab/>
        <w:t>2013 California Building Code</w:t>
      </w:r>
    </w:p>
    <w:p w14:paraId="44260926" w14:textId="77777777"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c.</w:t>
      </w:r>
      <w:r w:rsidRPr="00BA6536">
        <w:rPr>
          <w:rFonts w:eastAsia="Times New Roman" w:cs="Helvetica"/>
          <w:lang w:bidi="en-US"/>
        </w:rPr>
        <w:tab/>
        <w:t>2013 California Electrical Code</w:t>
      </w:r>
    </w:p>
    <w:p w14:paraId="0239BF90" w14:textId="77777777"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d.</w:t>
      </w:r>
      <w:r w:rsidRPr="00BA6536">
        <w:rPr>
          <w:rFonts w:eastAsia="Times New Roman" w:cs="Helvetica"/>
          <w:lang w:bidi="en-US"/>
        </w:rPr>
        <w:tab/>
        <w:t>2013 California Mechanical Code</w:t>
      </w:r>
    </w:p>
    <w:p w14:paraId="7C76B919" w14:textId="77777777"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e.</w:t>
      </w:r>
      <w:r w:rsidRPr="00BA6536">
        <w:rPr>
          <w:rFonts w:eastAsia="Times New Roman" w:cs="Helvetica"/>
          <w:lang w:bidi="en-US"/>
        </w:rPr>
        <w:tab/>
        <w:t>2013 California Plumbing Code</w:t>
      </w:r>
    </w:p>
    <w:p w14:paraId="71A7E05A" w14:textId="77777777"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f.</w:t>
      </w:r>
      <w:r w:rsidRPr="00BA6536">
        <w:rPr>
          <w:rFonts w:eastAsia="Times New Roman" w:cs="Helvetica"/>
          <w:lang w:bidi="en-US"/>
        </w:rPr>
        <w:tab/>
        <w:t>2013 California Energy Code</w:t>
      </w:r>
    </w:p>
    <w:p w14:paraId="5056DF98" w14:textId="77777777"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g.</w:t>
      </w:r>
      <w:r w:rsidRPr="00BA6536">
        <w:rPr>
          <w:rFonts w:eastAsia="Times New Roman" w:cs="Helvetica"/>
          <w:lang w:bidi="en-US"/>
        </w:rPr>
        <w:tab/>
        <w:t>2013 California Historical Building Code</w:t>
      </w:r>
    </w:p>
    <w:p w14:paraId="2FCCB0A6" w14:textId="77777777"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h.</w:t>
      </w:r>
      <w:r w:rsidRPr="00BA6536">
        <w:rPr>
          <w:rFonts w:eastAsia="Times New Roman" w:cs="Helvetica"/>
          <w:lang w:bidi="en-US"/>
        </w:rPr>
        <w:tab/>
        <w:t>2007 California Fire Code</w:t>
      </w:r>
    </w:p>
    <w:p w14:paraId="5AA18F65" w14:textId="77777777"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 xml:space="preserve">i. </w:t>
      </w:r>
      <w:r w:rsidRPr="00BA6536">
        <w:rPr>
          <w:rFonts w:eastAsia="Times New Roman" w:cs="Helvetica"/>
          <w:lang w:bidi="en-US"/>
        </w:rPr>
        <w:tab/>
        <w:t>2007 California Existing Building Code</w:t>
      </w:r>
    </w:p>
    <w:p w14:paraId="0306ED49" w14:textId="77777777" w:rsidR="00F01804" w:rsidRPr="00BA6536" w:rsidRDefault="00F01804" w:rsidP="00F01804">
      <w:pPr>
        <w:widowControl w:val="0"/>
        <w:autoSpaceDE w:val="0"/>
        <w:autoSpaceDN w:val="0"/>
        <w:adjustRightInd w:val="0"/>
        <w:spacing w:after="0" w:line="280" w:lineRule="atLeast"/>
        <w:ind w:left="360"/>
        <w:rPr>
          <w:rFonts w:eastAsia="Times New Roman" w:cs="ArialMT"/>
          <w:lang w:bidi="en-US"/>
        </w:rPr>
      </w:pPr>
      <w:r w:rsidRPr="00BA6536">
        <w:rPr>
          <w:rFonts w:eastAsia="Times New Roman" w:cs="Helvetica"/>
          <w:lang w:bidi="en-US"/>
        </w:rPr>
        <w:t>j.</w:t>
      </w:r>
      <w:r w:rsidRPr="00BA6536">
        <w:rPr>
          <w:rFonts w:eastAsia="Times New Roman" w:cs="Helvetica"/>
          <w:lang w:bidi="en-US"/>
        </w:rPr>
        <w:tab/>
        <w:t>2013 California Referenced Standards Code</w:t>
      </w:r>
    </w:p>
    <w:p w14:paraId="3BC9C9F5" w14:textId="77777777" w:rsidR="00F01804" w:rsidRPr="00BA6536" w:rsidRDefault="00F01804" w:rsidP="005E6905">
      <w:pPr>
        <w:spacing w:after="0" w:line="280" w:lineRule="atLeast"/>
        <w:ind w:firstLine="360"/>
        <w:jc w:val="both"/>
        <w:rPr>
          <w:rFonts w:eastAsia="Times New Roman" w:cs="Helvetica"/>
          <w:lang w:bidi="en-US"/>
        </w:rPr>
      </w:pPr>
      <w:r w:rsidRPr="00BA6536">
        <w:rPr>
          <w:rFonts w:eastAsia="Times New Roman" w:cs="Helvetica"/>
          <w:lang w:bidi="en-US"/>
        </w:rPr>
        <w:t>k.</w:t>
      </w:r>
      <w:r w:rsidRPr="00BA6536">
        <w:rPr>
          <w:rFonts w:eastAsia="Times New Roman" w:cs="Helvetica"/>
          <w:lang w:bidi="en-US"/>
        </w:rPr>
        <w:tab/>
        <w:t>2013 California Residential Code</w:t>
      </w:r>
    </w:p>
    <w:p w14:paraId="47559DF0" w14:textId="77777777" w:rsidR="00F01804" w:rsidRPr="00BA6536" w:rsidRDefault="00F01804" w:rsidP="00F01804">
      <w:pPr>
        <w:spacing w:after="0" w:line="280" w:lineRule="atLeast"/>
        <w:ind w:left="360"/>
        <w:jc w:val="both"/>
        <w:rPr>
          <w:rFonts w:eastAsia="Times New Roman" w:cs="Helvetica"/>
          <w:lang w:bidi="en-US"/>
        </w:rPr>
      </w:pPr>
      <w:r w:rsidRPr="00BA6536">
        <w:rPr>
          <w:rFonts w:eastAsia="Times New Roman" w:cs="Helvetica"/>
          <w:lang w:bidi="en-US"/>
        </w:rPr>
        <w:t>l.</w:t>
      </w:r>
      <w:r w:rsidRPr="00BA6536">
        <w:rPr>
          <w:rFonts w:eastAsia="Times New Roman" w:cs="Helvetica"/>
          <w:lang w:bidi="en-US"/>
        </w:rPr>
        <w:tab/>
        <w:t>2013 Green Building Code</w:t>
      </w:r>
    </w:p>
    <w:p w14:paraId="3A98DA2D" w14:textId="77777777" w:rsidR="00B80A5B" w:rsidRPr="00BA6536" w:rsidRDefault="00B80A5B" w:rsidP="00F01804">
      <w:pPr>
        <w:spacing w:after="0" w:line="280" w:lineRule="atLeast"/>
        <w:ind w:left="360"/>
        <w:jc w:val="both"/>
        <w:rPr>
          <w:rFonts w:eastAsia="Times New Roman" w:cs="Helvetica"/>
          <w:lang w:bidi="en-US"/>
        </w:rPr>
      </w:pPr>
    </w:p>
    <w:p w14:paraId="14F6CFF6" w14:textId="77777777"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Development must also comply with seismic, wind, soils, energy conservation, and sound transmission control standards, which have been established on a Countywide basis. Snow-load requirements vary depending on the area; they range from 119 pounds per square foot in June Lake to 38 pounds per square foot in Chalfant Valley. Building Code requirements are generally state standards and do not create a constraint to the development of housing.</w:t>
      </w:r>
    </w:p>
    <w:p w14:paraId="5B94BB26" w14:textId="77777777" w:rsidR="00F01804" w:rsidRPr="00BA6536" w:rsidRDefault="00F01804" w:rsidP="00F01804">
      <w:pPr>
        <w:spacing w:after="0" w:line="280" w:lineRule="atLeast"/>
        <w:jc w:val="both"/>
        <w:rPr>
          <w:rFonts w:eastAsia="Times New Roman" w:cs="Times New Roman"/>
        </w:rPr>
      </w:pPr>
    </w:p>
    <w:p w14:paraId="73DC9624" w14:textId="77777777" w:rsidR="00F01804" w:rsidRPr="00BA6536" w:rsidRDefault="00F01804" w:rsidP="00F01804">
      <w:pPr>
        <w:spacing w:after="0" w:line="280" w:lineRule="atLeast"/>
        <w:jc w:val="both"/>
        <w:rPr>
          <w:rFonts w:eastAsia="Times New Roman" w:cs="Times New Roman"/>
        </w:rPr>
      </w:pPr>
      <w:r w:rsidRPr="00BA6536">
        <w:rPr>
          <w:rFonts w:eastAsia="Times New Roman" w:cs="Times New Roman"/>
        </w:rPr>
        <w:t>The County has an ongoing code compliance program to ensure compliance with the County Code, including the Mono County Land Development Regulations, and the codes enforced by the Building Division. The enforcement of these regulations is necessary to protect the public health and safety and to provide structurally safe, energy efficient, soundproof housing. The Compliance Division program is intended to ensure compliance with existing applicable codes; as such, it does not create a constraint to development.</w:t>
      </w:r>
    </w:p>
    <w:p w14:paraId="7078CE26" w14:textId="77777777" w:rsidR="00B80A5B" w:rsidRPr="00BA6536" w:rsidRDefault="00B80A5B" w:rsidP="00F01804">
      <w:pPr>
        <w:spacing w:after="0" w:line="280" w:lineRule="atLeast"/>
        <w:jc w:val="both"/>
        <w:rPr>
          <w:rFonts w:eastAsia="Times New Roman" w:cs="Times New Roman"/>
        </w:rPr>
      </w:pPr>
    </w:p>
    <w:p w14:paraId="6589775F" w14:textId="77777777" w:rsidR="00F01804" w:rsidRPr="00BA6536" w:rsidRDefault="00F01804" w:rsidP="00B80A5B">
      <w:pPr>
        <w:spacing w:after="0" w:line="280" w:lineRule="atLeast"/>
        <w:jc w:val="both"/>
        <w:rPr>
          <w:rFonts w:eastAsia="Times New Roman" w:cs="Helvetica"/>
          <w:lang w:bidi="en-US"/>
        </w:rPr>
      </w:pPr>
      <w:r w:rsidRPr="00BA6536">
        <w:rPr>
          <w:rFonts w:eastAsia="Times New Roman" w:cs="Times New Roman"/>
        </w:rPr>
        <w:t>The Building Division inspects development during the construction process. Appointments are scheduled, and inspections occur generally within 24 hours. Since Mono County is a small County, the inspectors are able to communicate with contractors and owner-builders before and during the construction process concerning code requirements. Building inspections are conducted in a timely manner and are not a constraint to development.</w:t>
      </w:r>
    </w:p>
    <w:p w14:paraId="65B5632F" w14:textId="77777777" w:rsidR="00F01804" w:rsidRPr="00BA6536" w:rsidRDefault="00F01804" w:rsidP="00B80A5B">
      <w:pPr>
        <w:spacing w:after="0" w:line="280" w:lineRule="atLeast"/>
        <w:jc w:val="both"/>
        <w:rPr>
          <w:rFonts w:eastAsia="Times New Roman" w:cs="Times New Roman"/>
        </w:rPr>
      </w:pPr>
    </w:p>
    <w:p w14:paraId="7AAADC96" w14:textId="77777777" w:rsidR="00B80A5B" w:rsidRPr="00BA6536" w:rsidRDefault="002E1FEA" w:rsidP="003D5E81">
      <w:pPr>
        <w:pStyle w:val="Heading3"/>
      </w:pPr>
      <w:bookmarkStart w:id="200" w:name="_Toc383700032"/>
      <w:r>
        <w:t xml:space="preserve">d. </w:t>
      </w:r>
      <w:r w:rsidR="00B80A5B" w:rsidRPr="00BA6536">
        <w:t>ON-/OFF-SITE IMPROVEMENT STANDARDS</w:t>
      </w:r>
      <w:bookmarkEnd w:id="200"/>
      <w:r w:rsidR="00B80A5B" w:rsidRPr="00BA6536">
        <w:fldChar w:fldCharType="begin"/>
      </w:r>
      <w:r w:rsidR="00B80A5B" w:rsidRPr="00BA6536">
        <w:instrText xml:space="preserve"> TC"</w:instrText>
      </w:r>
      <w:bookmarkStart w:id="201" w:name="_Toc53806474"/>
      <w:bookmarkStart w:id="202" w:name="_Toc66156066"/>
      <w:bookmarkStart w:id="203" w:name="_Toc76443987"/>
      <w:bookmarkStart w:id="204" w:name="_Toc123887126"/>
      <w:r w:rsidR="00B80A5B" w:rsidRPr="00BA6536">
        <w:instrText>On/Off Site Improvement Standards</w:instrText>
      </w:r>
      <w:bookmarkEnd w:id="201"/>
      <w:bookmarkEnd w:id="202"/>
      <w:bookmarkEnd w:id="203"/>
      <w:bookmarkEnd w:id="204"/>
      <w:r w:rsidR="00B80A5B" w:rsidRPr="00BA6536">
        <w:instrText xml:space="preserve">"\l 3 </w:instrText>
      </w:r>
      <w:r w:rsidR="00B80A5B" w:rsidRPr="00BA6536">
        <w:fldChar w:fldCharType="end"/>
      </w:r>
    </w:p>
    <w:p w14:paraId="07DD5085"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The County requires the following on-site improvements for residential construction:</w:t>
      </w:r>
    </w:p>
    <w:p w14:paraId="5066B2B1" w14:textId="77777777" w:rsidR="00B80A5B" w:rsidRPr="00BA6536" w:rsidRDefault="00B80A5B" w:rsidP="00B80A5B">
      <w:pPr>
        <w:spacing w:after="0" w:line="280" w:lineRule="atLeast"/>
        <w:ind w:firstLine="360"/>
        <w:jc w:val="both"/>
        <w:rPr>
          <w:rFonts w:eastAsia="Times New Roman" w:cs="Times New Roman"/>
        </w:rPr>
      </w:pPr>
      <w:r w:rsidRPr="00BA6536">
        <w:rPr>
          <w:rFonts w:eastAsia="Times New Roman" w:cs="Times New Roman"/>
        </w:rPr>
        <w:t>New road development is subject to the Mono County Road Standards; i.e.,</w:t>
      </w:r>
    </w:p>
    <w:p w14:paraId="0EE208DF" w14:textId="77777777" w:rsidR="00B80A5B" w:rsidRPr="00BA6536" w:rsidRDefault="00B80A5B" w:rsidP="00B80A5B">
      <w:pPr>
        <w:tabs>
          <w:tab w:val="left" w:pos="2880"/>
          <w:tab w:val="left" w:pos="5040"/>
        </w:tabs>
        <w:spacing w:after="0" w:line="280" w:lineRule="atLeast"/>
        <w:ind w:left="360"/>
        <w:jc w:val="both"/>
        <w:rPr>
          <w:rFonts w:eastAsia="Times New Roman" w:cs="Times New Roman"/>
          <w:u w:val="single"/>
        </w:rPr>
      </w:pPr>
      <w:r w:rsidRPr="00BA6536">
        <w:rPr>
          <w:rFonts w:eastAsia="Times New Roman" w:cs="Times New Roman"/>
          <w:u w:val="single"/>
        </w:rPr>
        <w:t>Road Type</w:t>
      </w:r>
      <w:r w:rsidRPr="00BA6536">
        <w:rPr>
          <w:rFonts w:eastAsia="Times New Roman" w:cs="Times New Roman"/>
          <w:u w:val="single"/>
        </w:rPr>
        <w:tab/>
        <w:t>Minimum Right of Way</w:t>
      </w:r>
      <w:r w:rsidRPr="00BA6536">
        <w:rPr>
          <w:rFonts w:eastAsia="Times New Roman" w:cs="Times New Roman"/>
          <w:u w:val="single"/>
        </w:rPr>
        <w:tab/>
        <w:t>Minimum Pavement Width</w:t>
      </w:r>
    </w:p>
    <w:p w14:paraId="107AFAF4" w14:textId="77777777" w:rsidR="00B80A5B" w:rsidRPr="00BA6536" w:rsidRDefault="00B80A5B" w:rsidP="00B80A5B">
      <w:pPr>
        <w:tabs>
          <w:tab w:val="right" w:pos="4320"/>
          <w:tab w:val="right" w:pos="7020"/>
        </w:tabs>
        <w:spacing w:after="0" w:line="280" w:lineRule="atLeast"/>
        <w:ind w:left="360"/>
        <w:jc w:val="both"/>
        <w:rPr>
          <w:rFonts w:eastAsia="Times New Roman" w:cs="Times New Roman"/>
        </w:rPr>
      </w:pPr>
      <w:r w:rsidRPr="00BA6536">
        <w:rPr>
          <w:rFonts w:eastAsia="Times New Roman" w:cs="Times New Roman"/>
        </w:rPr>
        <w:t>Residential</w:t>
      </w:r>
      <w:r w:rsidRPr="00BA6536">
        <w:rPr>
          <w:rFonts w:eastAsia="Times New Roman" w:cs="Times New Roman"/>
        </w:rPr>
        <w:tab/>
        <w:t>60 feet</w:t>
      </w:r>
      <w:r w:rsidRPr="00BA6536">
        <w:rPr>
          <w:rFonts w:eastAsia="Times New Roman" w:cs="Times New Roman"/>
        </w:rPr>
        <w:tab/>
        <w:t>30 feet**</w:t>
      </w:r>
    </w:p>
    <w:p w14:paraId="58FA0EFF" w14:textId="77777777" w:rsidR="00B80A5B" w:rsidRPr="00BA6536" w:rsidRDefault="00B80A5B" w:rsidP="00B80A5B">
      <w:pPr>
        <w:tabs>
          <w:tab w:val="right" w:pos="4320"/>
          <w:tab w:val="right" w:pos="6840"/>
        </w:tabs>
        <w:spacing w:after="0" w:line="280" w:lineRule="atLeast"/>
        <w:ind w:left="360"/>
        <w:jc w:val="both"/>
        <w:rPr>
          <w:rFonts w:eastAsia="Times New Roman" w:cs="Times New Roman"/>
        </w:rPr>
      </w:pPr>
      <w:r w:rsidRPr="00BA6536">
        <w:rPr>
          <w:rFonts w:eastAsia="Times New Roman" w:cs="Times New Roman"/>
        </w:rPr>
        <w:t>County Road</w:t>
      </w:r>
      <w:r w:rsidRPr="00BA6536">
        <w:rPr>
          <w:rFonts w:eastAsia="Times New Roman" w:cs="Times New Roman"/>
        </w:rPr>
        <w:tab/>
        <w:t>60 feet</w:t>
      </w:r>
      <w:r w:rsidRPr="00BA6536">
        <w:rPr>
          <w:rFonts w:eastAsia="Times New Roman" w:cs="Times New Roman"/>
        </w:rPr>
        <w:tab/>
        <w:t>26 feet</w:t>
      </w:r>
    </w:p>
    <w:p w14:paraId="0C1E3ADC" w14:textId="77777777" w:rsidR="00B80A5B" w:rsidRPr="00BA6536" w:rsidRDefault="00B80A5B" w:rsidP="00B80A5B">
      <w:pPr>
        <w:tabs>
          <w:tab w:val="right" w:pos="4320"/>
          <w:tab w:val="right" w:pos="6840"/>
        </w:tabs>
        <w:spacing w:after="0" w:line="280" w:lineRule="atLeast"/>
        <w:ind w:left="360"/>
        <w:jc w:val="both"/>
        <w:rPr>
          <w:rFonts w:eastAsia="Times New Roman" w:cs="Times New Roman"/>
        </w:rPr>
      </w:pPr>
      <w:r w:rsidRPr="00BA6536">
        <w:rPr>
          <w:rFonts w:eastAsia="Times New Roman" w:cs="Times New Roman"/>
        </w:rPr>
        <w:t>Arterial Commercial</w:t>
      </w:r>
      <w:r w:rsidRPr="00BA6536">
        <w:rPr>
          <w:rFonts w:eastAsia="Times New Roman" w:cs="Times New Roman"/>
        </w:rPr>
        <w:tab/>
        <w:t>60 feet</w:t>
      </w:r>
      <w:r w:rsidRPr="00BA6536">
        <w:rPr>
          <w:rFonts w:eastAsia="Times New Roman" w:cs="Times New Roman"/>
        </w:rPr>
        <w:tab/>
        <w:t>40 feet</w:t>
      </w:r>
    </w:p>
    <w:p w14:paraId="7EC4C4D0" w14:textId="77777777" w:rsidR="00B80A5B" w:rsidRPr="00BA6536" w:rsidRDefault="00B80A5B" w:rsidP="00B80A5B">
      <w:pPr>
        <w:tabs>
          <w:tab w:val="right" w:pos="4320"/>
          <w:tab w:val="right" w:pos="6840"/>
        </w:tabs>
        <w:spacing w:after="0" w:line="280" w:lineRule="atLeast"/>
        <w:ind w:left="360"/>
        <w:jc w:val="both"/>
        <w:rPr>
          <w:rFonts w:eastAsia="Times New Roman" w:cs="Times New Roman"/>
        </w:rPr>
      </w:pPr>
      <w:r w:rsidRPr="00BA6536">
        <w:rPr>
          <w:rFonts w:eastAsia="Times New Roman" w:cs="Times New Roman"/>
        </w:rPr>
        <w:t>**The minimum pavement width for residential roads in June Lake is 26 feet due to existing topographical constraints in June Lake.</w:t>
      </w:r>
    </w:p>
    <w:p w14:paraId="5DBF56EC" w14:textId="77777777" w:rsidR="00B80A5B" w:rsidRPr="00BA6536" w:rsidRDefault="00B80A5B" w:rsidP="00B80A5B">
      <w:pPr>
        <w:tabs>
          <w:tab w:val="left" w:pos="2880"/>
          <w:tab w:val="left" w:pos="5040"/>
        </w:tabs>
        <w:spacing w:after="0" w:line="280" w:lineRule="atLeast"/>
        <w:ind w:left="360"/>
        <w:jc w:val="both"/>
        <w:rPr>
          <w:rFonts w:eastAsia="Times New Roman" w:cs="Times New Roman"/>
        </w:rPr>
      </w:pPr>
    </w:p>
    <w:p w14:paraId="10768337" w14:textId="77777777" w:rsidR="00B80A5B" w:rsidRPr="00BA6536" w:rsidRDefault="00B80A5B" w:rsidP="00B80A5B">
      <w:pPr>
        <w:tabs>
          <w:tab w:val="left" w:pos="2880"/>
          <w:tab w:val="left" w:pos="5040"/>
        </w:tabs>
        <w:spacing w:after="0" w:line="280" w:lineRule="atLeast"/>
        <w:ind w:left="360"/>
        <w:jc w:val="both"/>
        <w:rPr>
          <w:rFonts w:eastAsia="Times New Roman" w:cs="Times New Roman"/>
        </w:rPr>
      </w:pPr>
      <w:r w:rsidRPr="00BA6536">
        <w:rPr>
          <w:rFonts w:eastAsia="Times New Roman" w:cs="Times New Roman"/>
        </w:rPr>
        <w:t>These road widths are standard road widths and do not impact the cost or supply of housing in the County.</w:t>
      </w:r>
    </w:p>
    <w:p w14:paraId="2D94828A" w14:textId="77777777" w:rsidR="00B80A5B" w:rsidRPr="00BA6536" w:rsidRDefault="00B80A5B" w:rsidP="00B80A5B">
      <w:pPr>
        <w:tabs>
          <w:tab w:val="left" w:pos="2880"/>
          <w:tab w:val="left" w:pos="5040"/>
        </w:tabs>
        <w:spacing w:after="0" w:line="280" w:lineRule="atLeast"/>
        <w:ind w:left="360"/>
        <w:jc w:val="both"/>
        <w:rPr>
          <w:rFonts w:eastAsia="Times New Roman" w:cs="Times New Roman"/>
        </w:rPr>
      </w:pPr>
    </w:p>
    <w:p w14:paraId="3560AC65" w14:textId="77777777"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 xml:space="preserve">The County Parking Standards (Mono County Land Development Regulations, Chapter 6) require paved parking areas/spaces and paved driveways. Chapter 6 gives the Planning Commission the ability to waive, modify or increase those parking and driveway standards.. The parking standards are not burdensome and do not impact the cost of housing. Commercial parking requirements have been reduced in central business districts.  This could lead to more desirable neighborhoods for residential development, particularly higher density projects. </w:t>
      </w:r>
    </w:p>
    <w:p w14:paraId="58C26460" w14:textId="77777777" w:rsidR="00B80A5B" w:rsidRPr="00BA6536" w:rsidRDefault="00B80A5B" w:rsidP="00B80A5B">
      <w:pPr>
        <w:spacing w:after="0" w:line="280" w:lineRule="atLeast"/>
        <w:jc w:val="both"/>
        <w:rPr>
          <w:rFonts w:eastAsia="Times New Roman" w:cs="Times New Roman"/>
        </w:rPr>
      </w:pPr>
    </w:p>
    <w:p w14:paraId="34918DDE" w14:textId="77777777"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The County's Land Development Regulations and the General Plan require all utility lines (gas, water, telephone, cable TV, electricity) to be installed underground. This requirement applies to individual development projects (a single-family residence, a single commercial use, a multifamily residence) as well as to subdivisions. Individual developments may apply for overhead installation. Overhead installation requires a Director Review permit unless the project itself requires a Use Permit; the overhead installation is then processed as part of the Use Permit. To approve an overhead installation, the Planning Director (for Director Review permits) or the Planning Commission (for Use Permits) must make the following findings in addition to the findings required for Director Review permits or Use Permits:</w:t>
      </w:r>
    </w:p>
    <w:p w14:paraId="4EFC5311" w14:textId="77777777" w:rsidR="00B80A5B" w:rsidRPr="00BA6536" w:rsidRDefault="00B80A5B" w:rsidP="00B80A5B">
      <w:pPr>
        <w:spacing w:after="0" w:line="280" w:lineRule="atLeast"/>
        <w:ind w:left="360"/>
        <w:jc w:val="both"/>
        <w:rPr>
          <w:rFonts w:eastAsia="Times New Roman" w:cs="Times New Roman"/>
        </w:rPr>
      </w:pPr>
    </w:p>
    <w:p w14:paraId="410B8FB6"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360"/>
        <w:jc w:val="both"/>
        <w:rPr>
          <w:rFonts w:eastAsia="Times New Roman" w:cs="Times New Roman"/>
          <w:i/>
        </w:rPr>
      </w:pPr>
      <w:r w:rsidRPr="00BA6536">
        <w:rPr>
          <w:rFonts w:eastAsia="Times New Roman" w:cs="Times New Roman"/>
          <w:i/>
        </w:rPr>
        <w:t>Mono County Land Development Regulations, Chapter 11, Development Standards – Utilities:</w:t>
      </w:r>
    </w:p>
    <w:p w14:paraId="73951F77" w14:textId="77777777"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p>
    <w:p w14:paraId="3AE51D14" w14:textId="77777777"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r w:rsidRPr="00BA6536">
        <w:rPr>
          <w:rFonts w:eastAsia="Times New Roman" w:cs="Times New Roman"/>
        </w:rPr>
        <w:t>1.</w:t>
      </w:r>
      <w:r w:rsidRPr="00BA6536">
        <w:rPr>
          <w:rFonts w:eastAsia="Times New Roman" w:cs="Times New Roman"/>
        </w:rPr>
        <w:tab/>
        <w:t>The overhead line placement will not significantly disrupt the visual character of the area. In making this determination, the director or the commission shall consider the following:</w:t>
      </w:r>
    </w:p>
    <w:p w14:paraId="0299640F"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a.</w:t>
      </w:r>
      <w:r w:rsidRPr="00BA6536">
        <w:rPr>
          <w:rFonts w:eastAsia="Times New Roman" w:cs="Times New Roman"/>
        </w:rPr>
        <w:tab/>
        <w:t>In areas without a number of existing overhead lines in the immediate vicinity, would overhead lines create the potential for a significant cumulative visual impact; i.e., would allowing an overhead line be likely to result in future requests for additional overhead lines in the area? If so, it may be determined that an overhead line will have a significant impact on the visual character of the area.</w:t>
      </w:r>
    </w:p>
    <w:p w14:paraId="51A0341E"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b.</w:t>
      </w:r>
      <w:r w:rsidRPr="00BA6536">
        <w:rPr>
          <w:rFonts w:eastAsia="Times New Roman" w:cs="Times New Roman"/>
        </w:rPr>
        <w:tab/>
        <w:t>Does the topography or vegetation in the area effectively screen the proposed lines? If so, then an additional line may not significantly disrupt the visual character of the area.</w:t>
      </w:r>
    </w:p>
    <w:p w14:paraId="09FC443C"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c.</w:t>
      </w:r>
      <w:r w:rsidRPr="00BA6536">
        <w:rPr>
          <w:rFonts w:eastAsia="Times New Roman" w:cs="Times New Roman"/>
        </w:rPr>
        <w:tab/>
        <w:t>Are there other potential alignments that would have less visual impact?</w:t>
      </w:r>
    </w:p>
    <w:p w14:paraId="2DD27A67"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d.</w:t>
      </w:r>
      <w:r w:rsidRPr="00BA6536">
        <w:rPr>
          <w:rFonts w:eastAsia="Times New Roman" w:cs="Times New Roman"/>
        </w:rPr>
        <w:tab/>
        <w:t>Does the project reduce the overall number of overhead lines and poles in the area? If so, it may be determined that an overhead line will not have a significant impact on the visual character of the area.</w:t>
      </w:r>
    </w:p>
    <w:p w14:paraId="7EAE9BA1"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jc w:val="both"/>
        <w:rPr>
          <w:rFonts w:eastAsia="Times New Roman" w:cs="Times New Roman"/>
        </w:rPr>
      </w:pPr>
      <w:r w:rsidRPr="00BA6536">
        <w:rPr>
          <w:rFonts w:eastAsia="Times New Roman" w:cs="Times New Roman"/>
        </w:rPr>
        <w:t>The director or the commission may consider additional information pertaining to the visual character of the area that is deemed relevant to the application.</w:t>
      </w:r>
    </w:p>
    <w:p w14:paraId="0B956401" w14:textId="77777777"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p>
    <w:p w14:paraId="7D2A3F38" w14:textId="77777777"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r w:rsidRPr="00BA6536">
        <w:rPr>
          <w:rFonts w:eastAsia="Times New Roman" w:cs="Times New Roman"/>
        </w:rPr>
        <w:t>2.</w:t>
      </w:r>
      <w:r w:rsidRPr="00BA6536">
        <w:rPr>
          <w:rFonts w:eastAsia="Times New Roman" w:cs="Times New Roman"/>
        </w:rPr>
        <w:tab/>
        <w:t>The placement of utility lines above ground is environmentally preferable to underground placement. In making this determination, the director or the commission shall consider the following:</w:t>
      </w:r>
    </w:p>
    <w:p w14:paraId="58C844C6"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a.</w:t>
      </w:r>
      <w:r w:rsidRPr="00BA6536">
        <w:rPr>
          <w:rFonts w:eastAsia="Times New Roman" w:cs="Times New Roman"/>
        </w:rPr>
        <w:tab/>
        <w:t>Will underground placement disturb an environmentally sensitive area, including but not limited to the following:  cultural resource sites, significant wildlife habitat or use areas, riparian or wetland areas, or shallow groundwater? If so, above-ground placement may be preferable.</w:t>
      </w:r>
    </w:p>
    <w:p w14:paraId="16033C78"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b.</w:t>
      </w:r>
      <w:r w:rsidRPr="00BA6536">
        <w:rPr>
          <w:rFonts w:eastAsia="Times New Roman" w:cs="Times New Roman"/>
        </w:rPr>
        <w:tab/>
        <w:t>Will underground placement require disturbance of a waterway, including perennial, intermittent, and seasonal streams? If so, above ground placement may be preferable.</w:t>
      </w:r>
    </w:p>
    <w:p w14:paraId="15338796"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c.</w:t>
      </w:r>
      <w:r w:rsidRPr="00BA6536">
        <w:rPr>
          <w:rFonts w:eastAsia="Times New Roman" w:cs="Times New Roman"/>
        </w:rPr>
        <w:tab/>
        <w:t>Will underground placement increase the utility line's exposure to environmental hazards, such as flood hazards, fault hazards or liquefaction? If so, above ground placement may be preferable.</w:t>
      </w:r>
    </w:p>
    <w:p w14:paraId="74E53D9C"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d.</w:t>
      </w:r>
      <w:r w:rsidRPr="00BA6536">
        <w:rPr>
          <w:rFonts w:eastAsia="Times New Roman" w:cs="Times New Roman"/>
        </w:rPr>
        <w:tab/>
        <w:t>Are there other potential alignments that would avoid potential environmental impacts?</w:t>
      </w:r>
    </w:p>
    <w:p w14:paraId="19798BC0"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jc w:val="both"/>
        <w:rPr>
          <w:rFonts w:eastAsia="Times New Roman" w:cs="Times New Roman"/>
        </w:rPr>
      </w:pPr>
      <w:r w:rsidRPr="00BA6536">
        <w:rPr>
          <w:rFonts w:eastAsia="Times New Roman" w:cs="Times New Roman"/>
        </w:rPr>
        <w:t>The Director or the Commission may consider additional information pertaining to the environmental sensitivity of the area that is deemed relevant to the application.</w:t>
      </w:r>
    </w:p>
    <w:p w14:paraId="66F304D0" w14:textId="77777777"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p>
    <w:p w14:paraId="140C8505" w14:textId="77777777"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r w:rsidRPr="00BA6536">
        <w:rPr>
          <w:rFonts w:eastAsia="Times New Roman" w:cs="Times New Roman"/>
        </w:rPr>
        <w:t>3.</w:t>
      </w:r>
      <w:r w:rsidRPr="00BA6536">
        <w:rPr>
          <w:rFonts w:eastAsia="Times New Roman" w:cs="Times New Roman"/>
        </w:rPr>
        <w:tab/>
        <w:t>The installation of underground utilities would create an unreasonable financial hardship on the applicant due to the unique physical characteristics of the property. In making this determination, the Director or the Commission shall consider the following:</w:t>
      </w:r>
    </w:p>
    <w:p w14:paraId="3F57C20B"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a.</w:t>
      </w:r>
      <w:r w:rsidRPr="00BA6536">
        <w:rPr>
          <w:rFonts w:eastAsia="Times New Roman" w:cs="Times New Roman"/>
        </w:rPr>
        <w:tab/>
        <w:t>Is the cost of the line to be installed excessive?</w:t>
      </w:r>
    </w:p>
    <w:p w14:paraId="24BC06CD"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b.</w:t>
      </w:r>
      <w:r w:rsidRPr="00BA6536">
        <w:rPr>
          <w:rFonts w:eastAsia="Times New Roman" w:cs="Times New Roman"/>
        </w:rPr>
        <w:tab/>
        <w:t>Will the installation of underground utilities require trenching under a stream bed?</w:t>
      </w:r>
    </w:p>
    <w:p w14:paraId="5C5DA20A"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c.</w:t>
      </w:r>
      <w:r w:rsidRPr="00BA6536">
        <w:rPr>
          <w:rFonts w:eastAsia="Times New Roman" w:cs="Times New Roman"/>
        </w:rPr>
        <w:tab/>
        <w:t>Will the installation of underground utilities require unreasonable trenching or blasting through rock?</w:t>
      </w:r>
    </w:p>
    <w:p w14:paraId="0F1E42FC"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440" w:hanging="360"/>
        <w:jc w:val="both"/>
        <w:rPr>
          <w:rFonts w:eastAsia="Times New Roman" w:cs="Times New Roman"/>
        </w:rPr>
      </w:pPr>
      <w:r w:rsidRPr="00BA6536">
        <w:rPr>
          <w:rFonts w:eastAsia="Times New Roman" w:cs="Times New Roman"/>
        </w:rPr>
        <w:t>d.</w:t>
      </w:r>
      <w:r w:rsidRPr="00BA6536">
        <w:rPr>
          <w:rFonts w:eastAsia="Times New Roman" w:cs="Times New Roman"/>
        </w:rPr>
        <w:tab/>
        <w:t>Are there alternate alignments that would eliminate or significantly lessen the financial hardship?</w:t>
      </w:r>
    </w:p>
    <w:p w14:paraId="16FC7FDC"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jc w:val="both"/>
        <w:rPr>
          <w:rFonts w:eastAsia="Times New Roman" w:cs="Times New Roman"/>
        </w:rPr>
      </w:pPr>
      <w:r w:rsidRPr="00BA6536">
        <w:rPr>
          <w:rFonts w:eastAsia="Times New Roman" w:cs="Times New Roman"/>
        </w:rPr>
        <w:t>The Director or the Commission may consider other site specific financial hardships deemed relevant to the application.</w:t>
      </w:r>
    </w:p>
    <w:p w14:paraId="6FC1EB3E" w14:textId="77777777"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p>
    <w:p w14:paraId="7D6A9EEF" w14:textId="77777777" w:rsidR="00B80A5B" w:rsidRPr="00BA6536" w:rsidRDefault="00B80A5B" w:rsidP="00B80A5B">
      <w:pPr>
        <w:tabs>
          <w:tab w:val="left" w:pos="108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hanging="360"/>
        <w:jc w:val="both"/>
        <w:rPr>
          <w:rFonts w:eastAsia="Times New Roman" w:cs="Times New Roman"/>
        </w:rPr>
      </w:pPr>
      <w:r w:rsidRPr="00BA6536">
        <w:rPr>
          <w:rFonts w:eastAsia="Times New Roman" w:cs="Times New Roman"/>
        </w:rPr>
        <w:t>4.</w:t>
      </w:r>
      <w:r w:rsidRPr="00BA6536">
        <w:rPr>
          <w:rFonts w:eastAsia="Times New Roman" w:cs="Times New Roman"/>
        </w:rPr>
        <w:tab/>
        <w:t>The exclusive purpose of the overhead line is to serve an agricultural operation.</w:t>
      </w:r>
    </w:p>
    <w:p w14:paraId="7E6028F0"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1080"/>
        <w:jc w:val="both"/>
        <w:rPr>
          <w:rFonts w:eastAsia="Times New Roman" w:cs="Times New Roman"/>
        </w:rPr>
      </w:pPr>
      <w:r w:rsidRPr="00BA6536">
        <w:rPr>
          <w:rFonts w:eastAsia="Times New Roman" w:cs="Times New Roman"/>
        </w:rPr>
        <w:t>For the purposes of this section, agricultural operations are defined as use of the land for the production of food and fiber, including the growing of crops and grazing of livestock. Above ground utility lines may be permitted for agricultural uses such as pumps and similar uses.</w:t>
      </w:r>
    </w:p>
    <w:p w14:paraId="4A0F719A" w14:textId="77777777" w:rsidR="00B80A5B" w:rsidRPr="00BA6536" w:rsidRDefault="00B80A5B" w:rsidP="00B80A5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p>
    <w:p w14:paraId="4D8608DF"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jc w:val="both"/>
        <w:rPr>
          <w:rFonts w:eastAsia="Times New Roman" w:cs="Times New Roman"/>
        </w:rPr>
      </w:pPr>
      <w:r w:rsidRPr="00BA6536">
        <w:rPr>
          <w:rFonts w:eastAsia="Times New Roman" w:cs="Times New Roman"/>
        </w:rPr>
        <w:t>Utility distribution lines for all subdivisions and land divisions shall be installed underground, unless a specific hardship can be demonstrated (see # 3 above). If a specific hardship can be demonstrated, overhead installation may be allowed subject to approval of a variance (see Ch. 33, Variance Processing).</w:t>
      </w:r>
    </w:p>
    <w:p w14:paraId="2A0F2A61"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jc w:val="both"/>
        <w:rPr>
          <w:rFonts w:eastAsia="Times New Roman" w:cs="Times New Roman"/>
        </w:rPr>
      </w:pPr>
    </w:p>
    <w:p w14:paraId="22D99D23"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jc w:val="both"/>
        <w:rPr>
          <w:rFonts w:eastAsia="Times New Roman" w:cs="Times New Roman"/>
        </w:rPr>
      </w:pPr>
      <w:r w:rsidRPr="00BA6536">
        <w:rPr>
          <w:rFonts w:eastAsia="Times New Roman" w:cs="Times New Roman"/>
        </w:rPr>
        <w:t>Subdivisions may be required to underground the feeder distribution line to the subdivision. An assessment district, or a similar mechanism, may be established for this purpose as a condition of the tract map approval.</w:t>
      </w:r>
    </w:p>
    <w:p w14:paraId="116E0FA6" w14:textId="77777777" w:rsidR="00B80A5B" w:rsidRPr="00BA6536" w:rsidRDefault="00B80A5B"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ind w:left="360"/>
        <w:jc w:val="both"/>
        <w:rPr>
          <w:rFonts w:eastAsia="Times New Roman" w:cs="Times New Roman"/>
        </w:rPr>
      </w:pPr>
    </w:p>
    <w:p w14:paraId="465B152B" w14:textId="77777777" w:rsidR="00B80A5B" w:rsidRPr="00BA6536" w:rsidRDefault="00B80A5B"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ind w:left="360"/>
        <w:jc w:val="both"/>
        <w:rPr>
          <w:rFonts w:eastAsia="Times New Roman" w:cs="Times New Roman"/>
        </w:rPr>
      </w:pPr>
      <w:r w:rsidRPr="00BA6536">
        <w:rPr>
          <w:rFonts w:eastAsia="Times New Roman" w:cs="Times New Roman"/>
        </w:rPr>
        <w:t>Underground installation of utility lines is generally not a hardship in community areas; it may be so in more rural areas where environmental constraints such as streambeds or rock formations make underground installation difficult and more costly. Mono County's regulations allow for overhead installation in such cases to alleviate the hardship and reduce the cost of housing.</w:t>
      </w:r>
    </w:p>
    <w:p w14:paraId="2F47DF80"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jc w:val="both"/>
        <w:rPr>
          <w:rFonts w:eastAsia="Times New Roman" w:cs="Times New Roman"/>
        </w:rPr>
      </w:pPr>
    </w:p>
    <w:p w14:paraId="7355F2E9" w14:textId="77777777"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The County does not require public improvements such as streetlights and sidewalks due to the rural character of the County. Curbs and gutters are also not usually required.</w:t>
      </w:r>
    </w:p>
    <w:p w14:paraId="4354C470" w14:textId="77777777" w:rsidR="00B80A5B" w:rsidRPr="00BA6536" w:rsidRDefault="00B80A5B" w:rsidP="00B80A5B">
      <w:pPr>
        <w:spacing w:after="0" w:line="280" w:lineRule="atLeast"/>
        <w:jc w:val="both"/>
        <w:rPr>
          <w:rFonts w:eastAsia="Times New Roman" w:cs="Times New Roman"/>
        </w:rPr>
      </w:pPr>
    </w:p>
    <w:p w14:paraId="2600D6D4" w14:textId="77777777"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The County has no storm drainage infrastructure in any of its communities and does not require drainage improvements as a standard site improvement. Drainage requirements for projects are usually implemented to mitigate identified environmental impacts expected to result from the project. When required, drainage improvements are usually low-tech on-site retention basins.</w:t>
      </w:r>
    </w:p>
    <w:p w14:paraId="093E4A34" w14:textId="77777777" w:rsidR="00B80A5B" w:rsidRPr="00BA6536" w:rsidRDefault="00B80A5B" w:rsidP="00B80A5B">
      <w:pPr>
        <w:spacing w:after="0" w:line="280" w:lineRule="atLeast"/>
        <w:jc w:val="both"/>
        <w:rPr>
          <w:rFonts w:eastAsia="Times New Roman" w:cs="Times New Roman"/>
        </w:rPr>
      </w:pPr>
    </w:p>
    <w:p w14:paraId="35B14F6F" w14:textId="77777777"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 xml:space="preserve">The County has no established exactions for landscaping or parks. Landscaping requirements for projects and requirements for the provision of parks or open space are sometimes required on a discretionary basis to mitigate identified environmental impacts expected to result from the project. When required, landscaping must comply with the County's requirements for Landscape Plans that promote xeriscape and the use of native drought-resistant species to the greatest extent practical. </w:t>
      </w:r>
    </w:p>
    <w:p w14:paraId="6E41250C" w14:textId="77777777" w:rsidR="00B80A5B" w:rsidRPr="00BA6536" w:rsidRDefault="00B80A5B" w:rsidP="00B80A5B">
      <w:pPr>
        <w:spacing w:after="0" w:line="280" w:lineRule="atLeast"/>
        <w:jc w:val="both"/>
        <w:rPr>
          <w:rFonts w:eastAsia="Times New Roman" w:cs="Times New Roman"/>
        </w:rPr>
      </w:pPr>
    </w:p>
    <w:p w14:paraId="54372163" w14:textId="77777777"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Additional on-site improvements may be required by the County's Fire Safe Regulations (Mono County Land Development Regulations, Chapter 22). The Fire Safe Regulations relate to emergency access, signing and building numbering, emergency water standards, and fuel modification standards. These standards are based on state law requirements, are not burdensome and do not add to the cost of housing. In addition, Chapter 22 allows the inspection authority to approve exceptions to the standards where "the exception provides the same overall practical effect as these regulations toward providing defensible space."</w:t>
      </w:r>
    </w:p>
    <w:p w14:paraId="6208BFAF" w14:textId="77777777" w:rsidR="00B80A5B" w:rsidRPr="00BA6536" w:rsidRDefault="00B80A5B" w:rsidP="00B80A5B">
      <w:pPr>
        <w:spacing w:after="0" w:line="280" w:lineRule="atLeast"/>
        <w:jc w:val="both"/>
        <w:rPr>
          <w:rFonts w:eastAsia="Times New Roman" w:cs="Times New Roman"/>
        </w:rPr>
      </w:pPr>
    </w:p>
    <w:p w14:paraId="04AE8BEC" w14:textId="77777777"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Off-site development requirements for residential construction are generally limited to collection of school district fees and fire protection mitigation fees in areas within fire protection districts.</w:t>
      </w:r>
    </w:p>
    <w:p w14:paraId="373A8D10" w14:textId="77777777" w:rsidR="00B80A5B" w:rsidRPr="00BA6536" w:rsidRDefault="00B80A5B" w:rsidP="00B80A5B">
      <w:pPr>
        <w:spacing w:after="0" w:line="280" w:lineRule="atLeast"/>
        <w:jc w:val="both"/>
        <w:rPr>
          <w:rFonts w:eastAsia="Times New Roman" w:cs="Times New Roman"/>
        </w:rPr>
      </w:pPr>
    </w:p>
    <w:p w14:paraId="5C427EB8" w14:textId="77777777"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The County's subdivision ordinance is based on the Subdivision Map Act. On-site improvements for subdivisions and land divisions may include the above requirements as well as additional requirements depending on the size and type of the proposed subdivision. For subdivisions, the General Plan includes policies to provide for additional off-site improvements or the collection of in-lieu fees to mitigate future development impacts on the environment and the local infrastructure.</w:t>
      </w:r>
    </w:p>
    <w:p w14:paraId="7E0445DC" w14:textId="77777777" w:rsidR="00B80A5B" w:rsidRPr="00BA6536" w:rsidRDefault="00B80A5B" w:rsidP="00B80A5B">
      <w:pPr>
        <w:spacing w:after="0" w:line="280" w:lineRule="atLeast"/>
        <w:jc w:val="both"/>
        <w:rPr>
          <w:rFonts w:eastAsia="Times New Roman" w:cs="Times New Roman"/>
        </w:rPr>
      </w:pPr>
    </w:p>
    <w:p w14:paraId="04F91425" w14:textId="77777777" w:rsidR="00B80A5B" w:rsidRPr="00BA6536" w:rsidRDefault="00B80A5B" w:rsidP="00B80A5B">
      <w:pPr>
        <w:spacing w:after="0" w:line="280" w:lineRule="atLeast"/>
        <w:ind w:left="360"/>
        <w:jc w:val="both"/>
        <w:rPr>
          <w:rFonts w:eastAsia="Times New Roman" w:cs="Times New Roman"/>
        </w:rPr>
      </w:pPr>
      <w:r w:rsidRPr="00BA6536">
        <w:rPr>
          <w:rFonts w:eastAsia="Times New Roman" w:cs="Times New Roman"/>
        </w:rPr>
        <w:t xml:space="preserve">Due to the environmental sensitivity of much of the land in the County, additional development requirements may be imposed through the environmental review process on discretionary projects (this does not apply to the construction of a single-family residence by an individual). Additional development requirements to mitigate significant environmental impacts from a proposed project may increase the overall cost of the project, which may increase the cost of housing within the project. </w:t>
      </w:r>
    </w:p>
    <w:p w14:paraId="62866F6F" w14:textId="77777777" w:rsidR="00B80A5B" w:rsidRPr="00BA6536" w:rsidRDefault="00B80A5B" w:rsidP="00B80A5B">
      <w:pPr>
        <w:tabs>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jc w:val="both"/>
        <w:rPr>
          <w:rFonts w:eastAsia="Times New Roman" w:cs="Times New Roman"/>
        </w:rPr>
      </w:pPr>
    </w:p>
    <w:p w14:paraId="5A6DE4AB" w14:textId="77777777" w:rsidR="00B80A5B" w:rsidRPr="00BA6536" w:rsidRDefault="002E1FEA" w:rsidP="003D5E81">
      <w:pPr>
        <w:pStyle w:val="Heading3"/>
      </w:pPr>
      <w:bookmarkStart w:id="205" w:name="_Toc383700033"/>
      <w:r>
        <w:t xml:space="preserve">e. </w:t>
      </w:r>
      <w:r w:rsidR="00B80A5B" w:rsidRPr="00BA6536">
        <w:t>FEES AND EXACTIONS</w:t>
      </w:r>
      <w:bookmarkEnd w:id="205"/>
      <w:r w:rsidR="00B80A5B" w:rsidRPr="00BA6536">
        <w:fldChar w:fldCharType="begin"/>
      </w:r>
      <w:r w:rsidR="00B80A5B" w:rsidRPr="00BA6536">
        <w:instrText xml:space="preserve"> TC"</w:instrText>
      </w:r>
      <w:bookmarkStart w:id="206" w:name="_Toc53806475"/>
      <w:bookmarkStart w:id="207" w:name="_Toc66156067"/>
      <w:bookmarkStart w:id="208" w:name="_Toc76443988"/>
      <w:bookmarkStart w:id="209" w:name="_Toc123887127"/>
      <w:r w:rsidR="00B80A5B" w:rsidRPr="00BA6536">
        <w:instrText>Fees and Exactions</w:instrText>
      </w:r>
      <w:bookmarkEnd w:id="206"/>
      <w:bookmarkEnd w:id="207"/>
      <w:bookmarkEnd w:id="208"/>
      <w:bookmarkEnd w:id="209"/>
      <w:r w:rsidR="00B80A5B" w:rsidRPr="00BA6536">
        <w:instrText xml:space="preserve">"\l 3 </w:instrText>
      </w:r>
      <w:r w:rsidR="00B80A5B" w:rsidRPr="00BA6536">
        <w:fldChar w:fldCharType="end"/>
      </w:r>
    </w:p>
    <w:p w14:paraId="44EA4AD0" w14:textId="77777777" w:rsidR="00B80A5B" w:rsidRPr="00BA6536" w:rsidRDefault="00D2305E" w:rsidP="00B80A5B">
      <w:pPr>
        <w:spacing w:after="0" w:line="280" w:lineRule="atLeast"/>
        <w:jc w:val="both"/>
        <w:rPr>
          <w:rFonts w:eastAsia="Times New Roman" w:cs="Times New Roman"/>
        </w:rPr>
      </w:pPr>
      <w:r w:rsidRPr="00BA6536">
        <w:rPr>
          <w:rFonts w:eastAsia="Times New Roman" w:cs="Times New Roman"/>
        </w:rPr>
        <w:t>Table 33</w:t>
      </w:r>
      <w:r w:rsidR="00B80A5B" w:rsidRPr="00BA6536">
        <w:rPr>
          <w:rFonts w:eastAsia="Times New Roman" w:cs="Times New Roman"/>
        </w:rPr>
        <w:t xml:space="preserve"> lists project development</w:t>
      </w:r>
      <w:r w:rsidRPr="00BA6536">
        <w:rPr>
          <w:rFonts w:eastAsia="Times New Roman" w:cs="Times New Roman"/>
        </w:rPr>
        <w:t xml:space="preserve"> permit</w:t>
      </w:r>
      <w:r w:rsidR="00B80A5B" w:rsidRPr="00BA6536">
        <w:rPr>
          <w:rFonts w:eastAsia="Times New Roman" w:cs="Times New Roman"/>
        </w:rPr>
        <w:t xml:space="preserve"> fees required by the County. The County may also require the following land dedications and exactions, depending on the location and type of the development: street rights of way, public utility easements, open space and trail dedications, snow storage easements, employee housing.</w:t>
      </w:r>
    </w:p>
    <w:p w14:paraId="6B44ED78" w14:textId="77777777" w:rsidR="00D2305E" w:rsidRPr="00BA6536" w:rsidRDefault="00D2305E" w:rsidP="00D2305E">
      <w:pPr>
        <w:tabs>
          <w:tab w:val="left" w:pos="360"/>
          <w:tab w:val="left" w:pos="900"/>
          <w:tab w:val="left" w:pos="3240"/>
          <w:tab w:val="left" w:pos="5130"/>
        </w:tabs>
        <w:spacing w:line="240" w:lineRule="atLeast"/>
        <w:ind w:left="360"/>
        <w:jc w:val="both"/>
        <w:rPr>
          <w:rFonts w:ascii="Bookman Old Style" w:hAnsi="Bookman Old Style"/>
        </w:rPr>
      </w:pPr>
    </w:p>
    <w:p w14:paraId="4E57019D" w14:textId="77777777" w:rsidR="00B80A5B" w:rsidRPr="00BA6536" w:rsidRDefault="00B80A5B" w:rsidP="00B80A5B">
      <w:pPr>
        <w:tabs>
          <w:tab w:val="left" w:pos="1080"/>
        </w:tabs>
        <w:spacing w:after="0" w:line="280" w:lineRule="atLeast"/>
        <w:jc w:val="both"/>
        <w:rPr>
          <w:rFonts w:eastAsia="Times New Roman" w:cs="Times New Roman"/>
        </w:rPr>
      </w:pPr>
      <w:r w:rsidRPr="00BA6536">
        <w:rPr>
          <w:rFonts w:eastAsia="Times New Roman" w:cs="Times New Roman"/>
        </w:rPr>
        <w:t>Fees are intended to cover the actual cost of services rendered. While they increase the cost of housing, they are not a constraint to development. The County streamlined its permit processing in order to expedite the development process and minimize the fees involved in a project.</w:t>
      </w:r>
    </w:p>
    <w:p w14:paraId="7AE5C8F6" w14:textId="77777777" w:rsidR="00B80A5B" w:rsidRPr="00BA6536" w:rsidRDefault="00B80A5B" w:rsidP="00B80A5B">
      <w:pPr>
        <w:tabs>
          <w:tab w:val="left" w:pos="1080"/>
        </w:tabs>
        <w:spacing w:after="0" w:line="280" w:lineRule="atLeast"/>
        <w:jc w:val="both"/>
        <w:rPr>
          <w:rFonts w:eastAsia="Times New Roman" w:cs="Times New Roman"/>
        </w:rPr>
      </w:pPr>
    </w:p>
    <w:p w14:paraId="5C5B78E8" w14:textId="77777777" w:rsidR="00B80A5B" w:rsidRPr="00BA6536" w:rsidRDefault="00B80A5B" w:rsidP="00B80A5B">
      <w:pPr>
        <w:tabs>
          <w:tab w:val="left" w:pos="1080"/>
        </w:tabs>
        <w:spacing w:after="0" w:line="280" w:lineRule="atLeast"/>
        <w:jc w:val="both"/>
        <w:rPr>
          <w:rFonts w:eastAsia="Times New Roman" w:cs="Times New Roman"/>
        </w:rPr>
      </w:pPr>
      <w:r w:rsidRPr="00BA6536">
        <w:rPr>
          <w:rFonts w:eastAsia="Times New Roman" w:cs="Times New Roman"/>
        </w:rPr>
        <w:t>Total fees for a typical single-family and multifamily development will vary depending on where in the County the project is located. Fire departments and school districts throughout the County charge different impact fees for development. Fees for an encroachment permit will vary depending on whether the property abuts a County road or a state highway. In addition, fees for sewer and water services will vary depending on whether the project is located in an area served by community sewer and water systems or whether it will require an individual well permit and septic system permit. Permit fees for septic systems vary depending on the type of system required.</w:t>
      </w:r>
    </w:p>
    <w:p w14:paraId="3C3A39B8" w14:textId="77777777" w:rsidR="00B80A5B" w:rsidRPr="00BA6536" w:rsidRDefault="00B80A5B" w:rsidP="00B80A5B">
      <w:pPr>
        <w:tabs>
          <w:tab w:val="left" w:pos="1080"/>
        </w:tabs>
        <w:spacing w:after="0" w:line="280" w:lineRule="atLeast"/>
        <w:jc w:val="both"/>
        <w:rPr>
          <w:rFonts w:eastAsia="Times New Roman" w:cs="Times New Roman"/>
        </w:rPr>
      </w:pPr>
    </w:p>
    <w:p w14:paraId="20C50EBA" w14:textId="77777777" w:rsidR="00B80A5B" w:rsidRPr="00BA6536" w:rsidRDefault="00B80A5B" w:rsidP="00B80A5B">
      <w:pPr>
        <w:tabs>
          <w:tab w:val="left" w:pos="1080"/>
        </w:tabs>
        <w:spacing w:after="0" w:line="280" w:lineRule="atLeast"/>
        <w:jc w:val="both"/>
        <w:rPr>
          <w:rFonts w:eastAsia="Times New Roman" w:cs="Times New Roman"/>
        </w:rPr>
      </w:pPr>
      <w:r w:rsidRPr="00BA6536">
        <w:rPr>
          <w:rFonts w:eastAsia="Times New Roman" w:cs="Times New Roman"/>
        </w:rPr>
        <w:t xml:space="preserve">Estimated initial fees for a typical 2,000-square foot single-family residence are shown below.  . Typical fees for a multifamily residential unit will be approximately 75 percent of the cost for a single-family residential unit. </w:t>
      </w:r>
    </w:p>
    <w:p w14:paraId="42D2C8F7" w14:textId="77777777" w:rsidR="00B80A5B" w:rsidRPr="00BA6536" w:rsidRDefault="00B80A5B" w:rsidP="00B80A5B">
      <w:pPr>
        <w:tabs>
          <w:tab w:val="left" w:pos="1080"/>
        </w:tabs>
        <w:spacing w:after="0" w:line="280" w:lineRule="atLeast"/>
        <w:jc w:val="both"/>
        <w:rPr>
          <w:rFonts w:eastAsia="Times New Roman" w:cs="Times New Roman"/>
        </w:rPr>
      </w:pPr>
    </w:p>
    <w:p w14:paraId="2B748BF1" w14:textId="77777777" w:rsidR="00B80A5B" w:rsidRPr="00BA6536" w:rsidRDefault="00B80A5B" w:rsidP="00B80A5B">
      <w:pPr>
        <w:tabs>
          <w:tab w:val="left" w:pos="1080"/>
        </w:tabs>
        <w:spacing w:after="0" w:line="280" w:lineRule="atLeast"/>
        <w:jc w:val="both"/>
        <w:rPr>
          <w:rFonts w:eastAsia="Times New Roman" w:cs="Times New Roman"/>
        </w:rPr>
      </w:pPr>
      <w:r w:rsidRPr="00BA6536">
        <w:rPr>
          <w:rFonts w:eastAsia="Times New Roman" w:cs="Times New Roman"/>
        </w:rPr>
        <w:t>Estimated Total Fees for a Typical Single-Family Residence</w:t>
      </w:r>
    </w:p>
    <w:p w14:paraId="312958B8" w14:textId="77777777" w:rsidR="00B80A5B" w:rsidRPr="00BA6536" w:rsidRDefault="00B80A5B" w:rsidP="00B80A5B">
      <w:pPr>
        <w:spacing w:after="0" w:line="280" w:lineRule="atLeast"/>
        <w:ind w:left="1440" w:hanging="1440"/>
        <w:jc w:val="both"/>
        <w:rPr>
          <w:rFonts w:eastAsia="Times New Roman" w:cs="Times New Roman"/>
        </w:rPr>
      </w:pPr>
      <w:r w:rsidRPr="00BA6536">
        <w:rPr>
          <w:rFonts w:eastAsia="Times New Roman" w:cs="Times New Roman"/>
        </w:rPr>
        <w:t>Assumptions:</w:t>
      </w:r>
      <w:r w:rsidRPr="00BA6536">
        <w:rPr>
          <w:rFonts w:eastAsia="Times New Roman" w:cs="Times New Roman"/>
        </w:rPr>
        <w:tab/>
        <w:t>2,000 square feet of habitable space in Chalfant; 400 square feet of garage; 100 square feet of uncovered deck.  The unit requires an individual well permit and septic system permit.  The unit encroaches on a County road.</w:t>
      </w:r>
    </w:p>
    <w:p w14:paraId="1A3D5F37" w14:textId="77777777" w:rsidR="00B80A5B" w:rsidRPr="00BA6536" w:rsidRDefault="00B80A5B" w:rsidP="00B80A5B">
      <w:pPr>
        <w:tabs>
          <w:tab w:val="right" w:pos="4320"/>
        </w:tabs>
        <w:spacing w:after="0" w:line="0" w:lineRule="atLeast"/>
        <w:ind w:left="720"/>
        <w:jc w:val="both"/>
        <w:rPr>
          <w:rFonts w:eastAsia="Times New Roman" w:cs="Times New Roman"/>
        </w:rPr>
      </w:pPr>
    </w:p>
    <w:p w14:paraId="3F7A88B0" w14:textId="77777777" w:rsidR="00B80A5B" w:rsidRPr="00BA6536" w:rsidRDefault="00B80A5B" w:rsidP="00B80A5B">
      <w:pPr>
        <w:tabs>
          <w:tab w:val="right" w:pos="4860"/>
        </w:tabs>
        <w:spacing w:after="0" w:line="280" w:lineRule="atLeast"/>
        <w:jc w:val="both"/>
        <w:rPr>
          <w:rFonts w:eastAsia="Times New Roman" w:cs="Times New Roman"/>
        </w:rPr>
      </w:pPr>
      <w:r w:rsidRPr="00BA6536">
        <w:rPr>
          <w:rFonts w:eastAsia="Times New Roman" w:cs="Times New Roman"/>
        </w:rPr>
        <w:t>Building permit fees</w:t>
      </w:r>
      <w:r w:rsidRPr="00BA6536">
        <w:rPr>
          <w:rFonts w:eastAsia="Times New Roman" w:cs="Times New Roman"/>
        </w:rPr>
        <w:tab/>
        <w:t>$4,267.91</w:t>
      </w:r>
    </w:p>
    <w:p w14:paraId="5ADA9B42" w14:textId="77777777" w:rsidR="00B80A5B" w:rsidRPr="00BA6536" w:rsidRDefault="00B80A5B" w:rsidP="00B80A5B">
      <w:pPr>
        <w:tabs>
          <w:tab w:val="left" w:pos="1080"/>
          <w:tab w:val="right" w:pos="4860"/>
        </w:tabs>
        <w:spacing w:after="0" w:line="280" w:lineRule="atLeast"/>
        <w:jc w:val="both"/>
        <w:rPr>
          <w:rFonts w:eastAsia="Times New Roman" w:cs="Times New Roman"/>
        </w:rPr>
      </w:pPr>
      <w:r w:rsidRPr="00BA6536">
        <w:rPr>
          <w:rFonts w:eastAsia="Times New Roman" w:cs="Times New Roman"/>
        </w:rPr>
        <w:t>Planning plan check</w:t>
      </w:r>
      <w:r w:rsidRPr="00BA6536">
        <w:rPr>
          <w:rFonts w:eastAsia="Times New Roman" w:cs="Times New Roman"/>
        </w:rPr>
        <w:tab/>
        <w:t>$250.00</w:t>
      </w:r>
    </w:p>
    <w:p w14:paraId="0F830C38" w14:textId="77777777" w:rsidR="00B80A5B" w:rsidRPr="00BA6536" w:rsidRDefault="00B80A5B" w:rsidP="00B80A5B">
      <w:pPr>
        <w:tabs>
          <w:tab w:val="left" w:pos="1080"/>
          <w:tab w:val="right" w:pos="4860"/>
        </w:tabs>
        <w:spacing w:after="0" w:line="280" w:lineRule="atLeast"/>
        <w:jc w:val="both"/>
        <w:rPr>
          <w:rFonts w:eastAsia="Times New Roman" w:cs="Times New Roman"/>
        </w:rPr>
      </w:pPr>
      <w:r w:rsidRPr="00BA6536">
        <w:rPr>
          <w:rFonts w:eastAsia="Times New Roman" w:cs="Times New Roman"/>
        </w:rPr>
        <w:t>Fire District (Chalfant)</w:t>
      </w:r>
      <w:r w:rsidRPr="00BA6536">
        <w:rPr>
          <w:rFonts w:eastAsia="Times New Roman" w:cs="Times New Roman"/>
        </w:rPr>
        <w:tab/>
        <w:t>$1,991.00</w:t>
      </w:r>
    </w:p>
    <w:p w14:paraId="317880A2" w14:textId="77777777" w:rsidR="00B80A5B" w:rsidRPr="00BA6536" w:rsidRDefault="00B80A5B" w:rsidP="00B80A5B">
      <w:pPr>
        <w:tabs>
          <w:tab w:val="left" w:pos="1080"/>
          <w:tab w:val="right" w:pos="4860"/>
        </w:tabs>
        <w:spacing w:after="0" w:line="280" w:lineRule="atLeast"/>
        <w:jc w:val="both"/>
        <w:rPr>
          <w:rFonts w:eastAsia="Times New Roman" w:cs="Times New Roman"/>
        </w:rPr>
      </w:pPr>
      <w:r w:rsidRPr="00BA6536">
        <w:rPr>
          <w:rFonts w:eastAsia="Times New Roman" w:cs="Times New Roman"/>
        </w:rPr>
        <w:t>School District (Eastern Sierra)</w:t>
      </w:r>
      <w:r w:rsidRPr="00BA6536">
        <w:rPr>
          <w:rFonts w:eastAsia="Times New Roman" w:cs="Times New Roman"/>
        </w:rPr>
        <w:tab/>
        <w:t>$3,120.00</w:t>
      </w:r>
    </w:p>
    <w:p w14:paraId="76EB9AD8" w14:textId="77777777" w:rsidR="00B80A5B" w:rsidRPr="00BA6536" w:rsidRDefault="00B80A5B" w:rsidP="00B80A5B">
      <w:pPr>
        <w:tabs>
          <w:tab w:val="right" w:pos="4860"/>
          <w:tab w:val="left" w:pos="5040"/>
        </w:tabs>
        <w:spacing w:after="0" w:line="280" w:lineRule="atLeast"/>
        <w:ind w:right="-540"/>
        <w:jc w:val="both"/>
        <w:rPr>
          <w:rFonts w:eastAsia="Times New Roman" w:cs="Times New Roman"/>
        </w:rPr>
      </w:pPr>
      <w:r w:rsidRPr="00BA6536">
        <w:rPr>
          <w:rFonts w:eastAsia="Times New Roman" w:cs="Times New Roman"/>
        </w:rPr>
        <w:t>Encroachment Permit</w:t>
      </w:r>
      <w:r w:rsidRPr="00BA6536">
        <w:rPr>
          <w:rFonts w:eastAsia="Times New Roman" w:cs="Times New Roman"/>
        </w:rPr>
        <w:tab/>
        <w:t>$800.00</w:t>
      </w:r>
      <w:r w:rsidRPr="00BA6536">
        <w:rPr>
          <w:rFonts w:eastAsia="Times New Roman" w:cs="Times New Roman"/>
        </w:rPr>
        <w:tab/>
        <w:t>($500 refundable security deposit)</w:t>
      </w:r>
    </w:p>
    <w:p w14:paraId="47A0420F" w14:textId="77777777" w:rsidR="00B80A5B" w:rsidRPr="00BA6536" w:rsidRDefault="00B80A5B" w:rsidP="00B80A5B">
      <w:pPr>
        <w:tabs>
          <w:tab w:val="left" w:pos="1080"/>
          <w:tab w:val="right" w:pos="4860"/>
        </w:tabs>
        <w:spacing w:after="0" w:line="280" w:lineRule="atLeast"/>
        <w:jc w:val="both"/>
        <w:rPr>
          <w:rFonts w:eastAsia="Times New Roman" w:cs="Times New Roman"/>
        </w:rPr>
      </w:pPr>
      <w:r w:rsidRPr="00BA6536">
        <w:rPr>
          <w:rFonts w:eastAsia="Times New Roman" w:cs="Times New Roman"/>
        </w:rPr>
        <w:t>Well Permit</w:t>
      </w:r>
      <w:r w:rsidRPr="00BA6536">
        <w:rPr>
          <w:rFonts w:eastAsia="Times New Roman" w:cs="Times New Roman"/>
        </w:rPr>
        <w:tab/>
      </w:r>
      <w:r w:rsidRPr="00BA6536">
        <w:rPr>
          <w:rFonts w:eastAsia="Times New Roman" w:cs="Times New Roman"/>
        </w:rPr>
        <w:tab/>
        <w:t>$644.00</w:t>
      </w:r>
    </w:p>
    <w:p w14:paraId="6A13215F" w14:textId="77777777" w:rsidR="00B80A5B" w:rsidRPr="00BA6536" w:rsidRDefault="00B80A5B" w:rsidP="00B80A5B">
      <w:pPr>
        <w:tabs>
          <w:tab w:val="left" w:pos="1080"/>
          <w:tab w:val="right" w:pos="4860"/>
        </w:tabs>
        <w:spacing w:after="0" w:line="280" w:lineRule="atLeast"/>
        <w:jc w:val="both"/>
        <w:rPr>
          <w:rFonts w:eastAsia="Times New Roman" w:cs="Times New Roman"/>
        </w:rPr>
      </w:pPr>
      <w:r w:rsidRPr="00BA6536">
        <w:rPr>
          <w:rFonts w:eastAsia="Times New Roman" w:cs="Times New Roman"/>
        </w:rPr>
        <w:t>Septic Permit</w:t>
      </w:r>
      <w:r w:rsidRPr="00BA6536">
        <w:rPr>
          <w:rFonts w:eastAsia="Times New Roman" w:cs="Times New Roman"/>
        </w:rPr>
        <w:tab/>
        <w:t>$644.00</w:t>
      </w:r>
    </w:p>
    <w:p w14:paraId="7AF4373D" w14:textId="77777777" w:rsidR="00B80A5B" w:rsidRPr="00BA6536" w:rsidRDefault="00B80A5B" w:rsidP="00B80A5B">
      <w:pPr>
        <w:tabs>
          <w:tab w:val="left" w:pos="1080"/>
        </w:tabs>
        <w:spacing w:after="0" w:line="280" w:lineRule="atLeast"/>
        <w:jc w:val="both"/>
        <w:rPr>
          <w:rFonts w:eastAsia="Times New Roman" w:cs="Times New Roman"/>
        </w:rPr>
      </w:pPr>
      <w:r w:rsidRPr="00BA6536">
        <w:rPr>
          <w:rFonts w:eastAsia="Times New Roman" w:cs="Times New Roman"/>
        </w:rPr>
        <w:t>Total Fees</w:t>
      </w:r>
      <w:r w:rsidRPr="00BA6536">
        <w:rPr>
          <w:rFonts w:eastAsia="Times New Roman" w:cs="Times New Roman"/>
        </w:rPr>
        <w:tab/>
      </w:r>
      <w:r w:rsidRPr="00BA6536">
        <w:rPr>
          <w:rFonts w:eastAsia="Times New Roman" w:cs="Times New Roman"/>
        </w:rPr>
        <w:tab/>
      </w:r>
      <w:r w:rsidRPr="00BA6536">
        <w:rPr>
          <w:rFonts w:eastAsia="Times New Roman" w:cs="Times New Roman"/>
        </w:rPr>
        <w:tab/>
      </w:r>
      <w:r w:rsidRPr="00BA6536">
        <w:rPr>
          <w:rFonts w:eastAsia="Times New Roman" w:cs="Times New Roman"/>
        </w:rPr>
        <w:tab/>
      </w:r>
      <w:r w:rsidRPr="00BA6536">
        <w:rPr>
          <w:rFonts w:eastAsia="Times New Roman" w:cs="Times New Roman"/>
        </w:rPr>
        <w:tab/>
        <w:t xml:space="preserve">     $11,716.91</w:t>
      </w:r>
    </w:p>
    <w:p w14:paraId="05F8176D" w14:textId="77777777" w:rsidR="00B80A5B" w:rsidRPr="00BA6536" w:rsidRDefault="00B80A5B" w:rsidP="00B80A5B">
      <w:pPr>
        <w:tabs>
          <w:tab w:val="left" w:pos="1080"/>
        </w:tabs>
        <w:spacing w:after="0" w:line="280" w:lineRule="atLeast"/>
        <w:jc w:val="both"/>
        <w:rPr>
          <w:rFonts w:ascii="Times New Roman" w:eastAsia="Times New Roman" w:hAnsi="Times New Roman" w:cs="Times New Roman"/>
          <w:sz w:val="24"/>
          <w:szCs w:val="20"/>
        </w:rPr>
      </w:pPr>
    </w:p>
    <w:p w14:paraId="19A7523E" w14:textId="77777777" w:rsidR="00B80A5B" w:rsidRPr="00BA6536" w:rsidRDefault="002E1FEA" w:rsidP="003D5E81">
      <w:pPr>
        <w:pStyle w:val="Heading3"/>
      </w:pPr>
      <w:bookmarkStart w:id="210" w:name="_Toc383700034"/>
      <w:r>
        <w:t xml:space="preserve">f. </w:t>
      </w:r>
      <w:r w:rsidR="00B80A5B" w:rsidRPr="00BA6536">
        <w:t>DEVELOPMENT FEE INFORMATION</w:t>
      </w:r>
      <w:bookmarkEnd w:id="210"/>
      <w:r w:rsidR="00B80A5B" w:rsidRPr="00BA6536">
        <w:fldChar w:fldCharType="begin"/>
      </w:r>
      <w:r w:rsidR="00B80A5B" w:rsidRPr="00BA6536">
        <w:instrText xml:space="preserve"> TC"</w:instrText>
      </w:r>
      <w:bookmarkStart w:id="211" w:name="_Toc123887128"/>
      <w:r w:rsidR="00B80A5B" w:rsidRPr="00BA6536">
        <w:instrText>Development Fee Information</w:instrText>
      </w:r>
      <w:bookmarkEnd w:id="211"/>
      <w:r w:rsidR="00B80A5B" w:rsidRPr="00BA6536">
        <w:instrText xml:space="preserve">"\l 3 </w:instrText>
      </w:r>
      <w:r w:rsidR="00B80A5B" w:rsidRPr="00BA6536">
        <w:fldChar w:fldCharType="end"/>
      </w:r>
    </w:p>
    <w:p w14:paraId="430ADD5B"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Development fees are based on time and material, and are deposits toward actual costs incurred by Mono County. Additional fees may accrue during permit processing.</w:t>
      </w:r>
    </w:p>
    <w:p w14:paraId="12DAB4D1" w14:textId="77777777" w:rsidR="00B80A5B" w:rsidRPr="00BA6536" w:rsidRDefault="00B80A5B" w:rsidP="00B80A5B">
      <w:pPr>
        <w:spacing w:after="0" w:line="280" w:lineRule="atLeast"/>
        <w:jc w:val="both"/>
        <w:rPr>
          <w:rFonts w:eastAsia="Times New Roman" w:cs="Times New Roman"/>
        </w:rPr>
      </w:pPr>
    </w:p>
    <w:p w14:paraId="6B5777B6"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SPECIAL FEES: Research, inspections and services exceeding one-half hour for which no fee is specifically indicated shall be charged at direct cost including, but not limited to, hourly rate plus benefits and overhead, materials, copying, film and mileage, and shall not exceed the County’s cost of providing such services.</w:t>
      </w:r>
    </w:p>
    <w:p w14:paraId="15986D64" w14:textId="77777777" w:rsidR="00B80A5B" w:rsidRPr="00BA6536" w:rsidRDefault="00B80A5B" w:rsidP="00B80A5B">
      <w:pPr>
        <w:spacing w:after="0" w:line="280" w:lineRule="atLeast"/>
        <w:jc w:val="both"/>
        <w:rPr>
          <w:rFonts w:eastAsia="Times New Roman" w:cs="Times New Roman"/>
        </w:rPr>
      </w:pPr>
    </w:p>
    <w:p w14:paraId="13A95AF1"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PENALTY: Where work for which a permit is required by this code is started or continued without a permit, said permit shall be obtained along with applicable fees plus a penalty fee equal to the amount of such fees. Payment of such permit and penalty fee shall not relieve any persons from fully complying with the requirements of this code in execution of the work or requirements or from any other penalties prescribed by law.</w:t>
      </w:r>
    </w:p>
    <w:p w14:paraId="63127936" w14:textId="77777777" w:rsidR="00B80A5B" w:rsidRPr="00BA6536" w:rsidRDefault="00B80A5B" w:rsidP="00B80A5B">
      <w:pPr>
        <w:spacing w:after="0" w:line="280" w:lineRule="atLeast"/>
        <w:jc w:val="both"/>
        <w:rPr>
          <w:rFonts w:eastAsia="Times New Roman" w:cs="Times New Roman"/>
        </w:rPr>
      </w:pPr>
    </w:p>
    <w:p w14:paraId="56C0E628"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FEE PAYMENT: Initial application fee is a deposit only toward actual costs of providing services. Should permit processing costs or services exceed initial deposit or payment, applicant and/or property may be billed for amount due or additional reasonable deposit (fee payment) for services not yet provided. Such billing shall be due no later than 15 days from postage date. In no event shall fees exceed the final cost of services by Mono County. Unless otherwise directed by the applicable department head or his designee, County may cease work on permits or services in process until fee payment is received, and such permits or services shall not become final until all fees have been paid.</w:t>
      </w:r>
    </w:p>
    <w:p w14:paraId="414A68B1" w14:textId="77777777" w:rsidR="00B80A5B" w:rsidRPr="00BA6536" w:rsidRDefault="00B80A5B" w:rsidP="00B80A5B">
      <w:pPr>
        <w:spacing w:after="0" w:line="280" w:lineRule="atLeast"/>
        <w:jc w:val="both"/>
        <w:rPr>
          <w:rFonts w:eastAsia="Times New Roman" w:cs="Times New Roman"/>
        </w:rPr>
      </w:pPr>
    </w:p>
    <w:p w14:paraId="5E9F382C"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FEES APPLIED: All fees listed are minimum deposits credited toward actual cost of services rendered. Such costs include, but are not limited to, hourly rate, postage, copying, mileage and overhead. Persons applying for services or permits shall pay a fee in an amount set by resolution of the Board of Supervisors, not to exceed the County’s costs. Portions of deposit exceeding final actual costs shall be reimbursed to the person paying such fees.</w:t>
      </w:r>
    </w:p>
    <w:p w14:paraId="1D3AE314" w14:textId="77777777" w:rsidR="00B80A5B" w:rsidRPr="00BA6536" w:rsidRDefault="00B80A5B" w:rsidP="00B80A5B">
      <w:pPr>
        <w:spacing w:after="0" w:line="280" w:lineRule="atLeast"/>
        <w:jc w:val="both"/>
        <w:rPr>
          <w:rFonts w:eastAsia="Times New Roman" w:cs="Times New Roman"/>
        </w:rPr>
      </w:pPr>
    </w:p>
    <w:p w14:paraId="772629BD"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ENCROACHMENT PERMIT FEES: In addition to the fee listed in the attached fee table, a refundable security deposit of $500 is required for residential driveways. All other encroachment permits shall include the fee listed above plus 1.5% of the estimated construction cost. Acceptable performance surety may also be required.</w:t>
      </w:r>
    </w:p>
    <w:p w14:paraId="0E1C2FB3" w14:textId="77777777" w:rsidR="00B80A5B" w:rsidRPr="00BA6536" w:rsidRDefault="00B80A5B" w:rsidP="00B80A5B">
      <w:pPr>
        <w:spacing w:after="0" w:line="280" w:lineRule="atLeast"/>
        <w:jc w:val="both"/>
        <w:rPr>
          <w:rFonts w:eastAsia="Times New Roman" w:cs="Times New Roman"/>
        </w:rPr>
      </w:pPr>
    </w:p>
    <w:p w14:paraId="6A5E9933"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GRADING PERMIT FEE DEPOSIT: In addition to the fee listed in the attached fee table, 1.5% of the estimated construction cost is due. Acceptable performance surety may also be required.</w:t>
      </w:r>
    </w:p>
    <w:p w14:paraId="4A283C0D" w14:textId="77777777" w:rsidR="00B80A5B" w:rsidRPr="00BA6536" w:rsidRDefault="00B80A5B" w:rsidP="00B80A5B">
      <w:pPr>
        <w:spacing w:after="0" w:line="280" w:lineRule="atLeast"/>
        <w:jc w:val="both"/>
        <w:rPr>
          <w:rFonts w:eastAsia="Times New Roman" w:cs="Times New Roman"/>
        </w:rPr>
      </w:pPr>
    </w:p>
    <w:p w14:paraId="0494A89A" w14:textId="77777777" w:rsidR="00B80A5B" w:rsidRPr="00BA6536" w:rsidRDefault="002E1FEA" w:rsidP="003D5E81">
      <w:pPr>
        <w:pStyle w:val="Heading3"/>
      </w:pPr>
      <w:bookmarkStart w:id="212" w:name="_Toc383700035"/>
      <w:r>
        <w:t xml:space="preserve">g. </w:t>
      </w:r>
      <w:r w:rsidR="00B80A5B" w:rsidRPr="00BA6536">
        <w:t>PROCESSING AND PERMITTING PROCEDURES</w:t>
      </w:r>
      <w:bookmarkEnd w:id="212"/>
      <w:r w:rsidR="00B80A5B" w:rsidRPr="00BA6536">
        <w:fldChar w:fldCharType="begin"/>
      </w:r>
      <w:r w:rsidR="00B80A5B" w:rsidRPr="00BA6536">
        <w:instrText xml:space="preserve"> TC"</w:instrText>
      </w:r>
      <w:bookmarkStart w:id="213" w:name="_Toc76443989"/>
      <w:bookmarkStart w:id="214" w:name="_Toc123887129"/>
      <w:r w:rsidR="00B80A5B" w:rsidRPr="00BA6536">
        <w:instrText>Processing and Permitting Procedures</w:instrText>
      </w:r>
      <w:bookmarkEnd w:id="213"/>
      <w:bookmarkEnd w:id="214"/>
      <w:r w:rsidR="00B80A5B" w:rsidRPr="00BA6536">
        <w:instrText xml:space="preserve">"\l 3 </w:instrText>
      </w:r>
      <w:r w:rsidR="00B80A5B" w:rsidRPr="00BA6536">
        <w:fldChar w:fldCharType="end"/>
      </w:r>
    </w:p>
    <w:p w14:paraId="5614C24F"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 xml:space="preserve">Development in Mono County is typically individual single-family residential construction, which is subject to a building permit reviewed and approved by County staff. Approval of a building permit is contingent upon ensuring that the proposed development complies with the Mono County General Plan, including the Land Use Designations and the Land Development Regulations, and with applicable building regulations. Development occurring on or adjacent to environmentally sensitive areas such as wetlands or streamsides may also be subject to permit requirements of other state and federal agencies (see Land Use Requirements Imposed by Other Agencies). </w:t>
      </w:r>
    </w:p>
    <w:p w14:paraId="756F2A89" w14:textId="77777777" w:rsidR="00B80A5B" w:rsidRPr="00BA6536" w:rsidRDefault="00B80A5B" w:rsidP="00B80A5B">
      <w:pPr>
        <w:spacing w:after="0" w:line="280" w:lineRule="atLeast"/>
        <w:jc w:val="both"/>
        <w:rPr>
          <w:rFonts w:eastAsia="Times New Roman" w:cs="Times New Roman"/>
        </w:rPr>
      </w:pPr>
    </w:p>
    <w:p w14:paraId="44BFC1CE"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 xml:space="preserve">Mono County does not typically have multifamily development projects. Duplexes and triplexes are permitted in many multifamily land use designations and are subject to the building permit process described above. Developments with four or more units have been subject to the Use Permit process. However, the County has included a program in this Housing Element to replace the Use Permit with a ministerial Director Review. </w:t>
      </w:r>
    </w:p>
    <w:p w14:paraId="0B7AD561" w14:textId="77777777" w:rsidR="00B80A5B" w:rsidRPr="00BA6536" w:rsidRDefault="00B80A5B" w:rsidP="00B80A5B">
      <w:pPr>
        <w:spacing w:after="0" w:line="280" w:lineRule="atLeast"/>
        <w:jc w:val="both"/>
        <w:rPr>
          <w:rFonts w:eastAsia="Times New Roman" w:cs="Times New Roman"/>
        </w:rPr>
      </w:pPr>
    </w:p>
    <w:p w14:paraId="0258A00A"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Residential subdivision projects in Mono County occur infrequently. Several small lot splits may occur within developed community areas each year and are subject to the parcel map permitting process (see Table 50). Large subdivision projects are subject to the specific plan and EIR process (see Table 50); one or two such projects may occur in a year. Typically, in Mono County the land is subdivided, and the lots are sold undeveloped.</w:t>
      </w:r>
    </w:p>
    <w:p w14:paraId="1D006325" w14:textId="77777777" w:rsidR="00B80A5B" w:rsidRPr="00BA6536" w:rsidRDefault="00B80A5B" w:rsidP="00B80A5B">
      <w:pPr>
        <w:spacing w:after="0" w:line="280" w:lineRule="atLeast"/>
        <w:jc w:val="both"/>
        <w:rPr>
          <w:rFonts w:eastAsia="Times New Roman" w:cs="Times New Roman"/>
        </w:rPr>
      </w:pPr>
    </w:p>
    <w:p w14:paraId="32E84F2C"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Mono County has streamlined its permit processing procedures and processes all required permits and or required legislative changes (such as General Plan Amendments) concurrently. This shortens the project review time and expedites the approval process. Information and permit application forms are available online The County also has a Land Development Technical Advisory Committee (LDTAC), comprised of members of the Community Development staff, Public Works staff, and Environmental Health staff, that meets with project proponents early on in the development permitting process to address project concerns and ensure the project meets all development and environmental criteria.</w:t>
      </w:r>
    </w:p>
    <w:p w14:paraId="15321577" w14:textId="77777777" w:rsidR="00B80A5B" w:rsidRPr="00BA6536" w:rsidRDefault="00B80A5B" w:rsidP="00B80A5B">
      <w:pPr>
        <w:spacing w:after="0" w:line="280" w:lineRule="atLeast"/>
        <w:jc w:val="both"/>
        <w:rPr>
          <w:rFonts w:ascii="Times New Roman" w:eastAsia="Times New Roman" w:hAnsi="Times New Roman" w:cs="Times New Roman"/>
          <w:sz w:val="24"/>
          <w:szCs w:val="20"/>
        </w:rPr>
      </w:pPr>
    </w:p>
    <w:p w14:paraId="3D6E3ED6"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The Mono County Environmental Handbook is also available online. The Environmental Handbook is intended to facilitate the day-to-day evaluation of discretionary projects within the unincorporated area by establishing procedures to identify, review and evaluate environmental aspects of projects and by encouraging the incorporation of environmental considerations into the project conceptualization, design, and planning at the earliest feasible time.</w:t>
      </w:r>
    </w:p>
    <w:p w14:paraId="496D71F5" w14:textId="77777777" w:rsidR="00B80A5B" w:rsidRPr="00BA6536" w:rsidRDefault="00B80A5B" w:rsidP="00B80A5B">
      <w:pPr>
        <w:spacing w:after="0" w:line="280" w:lineRule="atLeast"/>
        <w:jc w:val="both"/>
        <w:rPr>
          <w:rFonts w:eastAsia="Times New Roman" w:cs="Times New Roman"/>
        </w:rPr>
      </w:pPr>
    </w:p>
    <w:p w14:paraId="06B99228"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Table 50 shows typical processing times for various permit procedures. Individual single-family residential development that requires only a building permit or a Director Review permit takes only four to six weeks. Larger projects, such as subdivisions, take longer, depending on the level of CEQA review required, the responsiveness of project proponents, and whether the project requires permits from other state or federal agencies.</w:t>
      </w:r>
    </w:p>
    <w:p w14:paraId="1828CD51" w14:textId="77777777" w:rsidR="00B80A5B" w:rsidRPr="00BA6536" w:rsidRDefault="00B80A5B" w:rsidP="00B80A5B">
      <w:pPr>
        <w:spacing w:after="0" w:line="280" w:lineRule="atLeast"/>
        <w:jc w:val="both"/>
        <w:rPr>
          <w:rFonts w:eastAsia="Times New Roman" w:cs="Times New Roman"/>
        </w:rPr>
      </w:pPr>
    </w:p>
    <w:p w14:paraId="70596C86"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 xml:space="preserve">All development projects are first reviewed by staff. Projects requiring discretionary approval from the Planning Director, the Planning Commission, or the Board of Supervisors are first processed by staff and then presented to the appropriate entity for approval. Projects are reviewed for their compliance with the Mono County General Plan, the Mono County Code, the Mono County Land Development Regulations, and applicable state and federal laws. </w:t>
      </w:r>
    </w:p>
    <w:p w14:paraId="31A53130" w14:textId="77777777" w:rsidR="00B80A5B" w:rsidRPr="00BA6536" w:rsidRDefault="00B80A5B" w:rsidP="00B80A5B">
      <w:pPr>
        <w:spacing w:after="0" w:line="280" w:lineRule="atLeast"/>
        <w:jc w:val="both"/>
        <w:rPr>
          <w:rFonts w:eastAsia="Times New Roman" w:cs="Times New Roman"/>
        </w:rPr>
      </w:pPr>
    </w:p>
    <w:p w14:paraId="295CD67B" w14:textId="77777777" w:rsidR="00B80A5B" w:rsidRPr="00BA6536" w:rsidRDefault="00B80A5B" w:rsidP="00B80A5B">
      <w:pPr>
        <w:spacing w:after="0" w:line="280" w:lineRule="atLeast"/>
        <w:jc w:val="both"/>
        <w:rPr>
          <w:rFonts w:eastAsia="Times New Roman" w:cs="Times New Roman"/>
        </w:rPr>
      </w:pPr>
      <w:r w:rsidRPr="00BA6536">
        <w:rPr>
          <w:rFonts w:eastAsia="Times New Roman" w:cs="Times New Roman"/>
        </w:rPr>
        <w:t>The standards of decision</w:t>
      </w:r>
      <w:r w:rsidR="004332D4" w:rsidRPr="00BA6536">
        <w:rPr>
          <w:rFonts w:eastAsia="Times New Roman" w:cs="Times New Roman"/>
        </w:rPr>
        <w:t xml:space="preserve"> </w:t>
      </w:r>
      <w:r w:rsidRPr="00BA6536">
        <w:rPr>
          <w:rFonts w:eastAsia="Times New Roman" w:cs="Times New Roman"/>
        </w:rPr>
        <w:t>making are well established and not burdensome. In issuing a Director Review permit, the director must find that all of the following are true (Mono County Land Development Regulations, Chapter 31):</w:t>
      </w:r>
    </w:p>
    <w:p w14:paraId="699CF091"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A.</w:t>
      </w:r>
      <w:r w:rsidRPr="00BA6536">
        <w:rPr>
          <w:rFonts w:eastAsia="Times New Roman" w:cs="Times New Roman"/>
        </w:rPr>
        <w:tab/>
        <w:t>All applicable provisions of Land Use Designations and Land Development Regulations are complied with, and the site of the proposed use is adequate in size and shape to accommodate the use and to accommodate all yards, walls and fences, parking, loading, landscaping and other required features.</w:t>
      </w:r>
    </w:p>
    <w:p w14:paraId="44C5DA3E"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B.</w:t>
      </w:r>
      <w:r w:rsidRPr="00BA6536">
        <w:rPr>
          <w:rFonts w:eastAsia="Times New Roman" w:cs="Times New Roman"/>
        </w:rPr>
        <w:tab/>
        <w:t>The site for the proposed use relates to streets and highways adequate in width and type to carry the quantity and kind of traffic generated by the proposed use.</w:t>
      </w:r>
    </w:p>
    <w:p w14:paraId="7552681E"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C.</w:t>
      </w:r>
      <w:r w:rsidRPr="00BA6536">
        <w:rPr>
          <w:rFonts w:eastAsia="Times New Roman" w:cs="Times New Roman"/>
        </w:rPr>
        <w:tab/>
        <w:t>The proposed use will not be detrimental to the public welfare or injurious to property or improvements in the area in which the property is located.</w:t>
      </w:r>
    </w:p>
    <w:p w14:paraId="757140CE"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D.</w:t>
      </w:r>
      <w:r w:rsidRPr="00BA6536">
        <w:rPr>
          <w:rFonts w:eastAsia="Times New Roman" w:cs="Times New Roman"/>
        </w:rPr>
        <w:tab/>
        <w:t>The proposed use is consistent with the map and text of this General Plan and any applicable area plan.</w:t>
      </w:r>
    </w:p>
    <w:p w14:paraId="14D00D0F"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E.</w:t>
      </w:r>
      <w:r w:rsidRPr="00BA6536">
        <w:rPr>
          <w:rFonts w:eastAsia="Times New Roman" w:cs="Times New Roman"/>
        </w:rPr>
        <w:tab/>
        <w:t>That the improvements as indicated on the development plan are consistent with all adopted standards and policies as set forth in the Land Development Regulations, this General Plan and any applicable area plan.</w:t>
      </w:r>
    </w:p>
    <w:p w14:paraId="0C91B36C"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F.</w:t>
      </w:r>
      <w:r w:rsidRPr="00BA6536">
        <w:rPr>
          <w:rFonts w:eastAsia="Times New Roman" w:cs="Times New Roman"/>
        </w:rPr>
        <w:tab/>
        <w:t>That the project is exempt from CEQA.</w:t>
      </w:r>
    </w:p>
    <w:p w14:paraId="4C9CE7D6"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ascii="Times New Roman" w:eastAsia="Times New Roman" w:hAnsi="Times New Roman" w:cs="Times New Roman"/>
          <w:sz w:val="24"/>
          <w:szCs w:val="20"/>
        </w:rPr>
      </w:pPr>
    </w:p>
    <w:p w14:paraId="3A76E006"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r w:rsidRPr="00BA6536">
        <w:rPr>
          <w:rFonts w:eastAsia="Times New Roman" w:cs="Times New Roman"/>
        </w:rPr>
        <w:t>Use permits may be granted by the Planning Commission only when all of the following findings can be made in the affirmative (Mono County Land Development Regulations, Chapter 32):</w:t>
      </w:r>
    </w:p>
    <w:p w14:paraId="7D7D1381"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14:paraId="42622716"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A.</w:t>
      </w:r>
      <w:r w:rsidRPr="00BA6536">
        <w:rPr>
          <w:rFonts w:eastAsia="Times New Roman" w:cs="Times New Roman"/>
        </w:rPr>
        <w:tab/>
        <w:t>All applicable provisions of the Land Use Designations and Land Development Regulations are complied with, and the site of the proposed use is adequate in size and shape to accommodate the use and to accommodate all yards, walls and fences, parking, loading, landscaping and other required features.</w:t>
      </w:r>
    </w:p>
    <w:p w14:paraId="4A824E22"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B.</w:t>
      </w:r>
      <w:r w:rsidRPr="00BA6536">
        <w:rPr>
          <w:rFonts w:eastAsia="Times New Roman" w:cs="Times New Roman"/>
        </w:rPr>
        <w:tab/>
        <w:t>The site for the proposed use relates to streets and highways adequate in width and type to carry the quantity and kind of traffic generated by the proposed use.</w:t>
      </w:r>
    </w:p>
    <w:p w14:paraId="03FC51B6"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C.</w:t>
      </w:r>
      <w:r w:rsidRPr="00BA6536">
        <w:rPr>
          <w:rFonts w:eastAsia="Times New Roman" w:cs="Times New Roman"/>
        </w:rPr>
        <w:tab/>
        <w:t>The proposed use will not be detrimental to the public welfare or injurious to property or improvements in the area in which the property is located.</w:t>
      </w:r>
    </w:p>
    <w:p w14:paraId="01D7610D"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ind w:left="720" w:hanging="360"/>
        <w:jc w:val="both"/>
        <w:rPr>
          <w:rFonts w:eastAsia="Times New Roman" w:cs="Times New Roman"/>
        </w:rPr>
      </w:pPr>
      <w:r w:rsidRPr="00BA6536">
        <w:rPr>
          <w:rFonts w:eastAsia="Times New Roman" w:cs="Times New Roman"/>
        </w:rPr>
        <w:t>D.</w:t>
      </w:r>
      <w:r w:rsidRPr="00BA6536">
        <w:rPr>
          <w:rFonts w:eastAsia="Times New Roman" w:cs="Times New Roman"/>
        </w:rPr>
        <w:tab/>
        <w:t>The proposed use is consistent with the map and text of this General Plan and any applicable area plan.</w:t>
      </w:r>
    </w:p>
    <w:p w14:paraId="3EB2F076"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b/>
        </w:rPr>
      </w:pPr>
    </w:p>
    <w:p w14:paraId="71BFB64F" w14:textId="77777777" w:rsidR="00D2305E" w:rsidRPr="00BA6536" w:rsidRDefault="00D2305E" w:rsidP="00D2305E">
      <w:pPr>
        <w:tabs>
          <w:tab w:val="left" w:pos="360"/>
          <w:tab w:val="left" w:pos="900"/>
          <w:tab w:val="left" w:pos="3240"/>
          <w:tab w:val="left" w:pos="5130"/>
        </w:tabs>
        <w:spacing w:line="240" w:lineRule="atLeast"/>
        <w:ind w:left="360"/>
        <w:jc w:val="both"/>
      </w:pPr>
      <w:r w:rsidRPr="00BA6536">
        <w:t>Table 33, Development Permit Fees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170"/>
        <w:gridCol w:w="1890"/>
        <w:gridCol w:w="1620"/>
      </w:tblGrid>
      <w:tr w:rsidR="00D2305E" w:rsidRPr="00BA6536" w14:paraId="45F203B8" w14:textId="77777777" w:rsidTr="002B4CDA">
        <w:tc>
          <w:tcPr>
            <w:tcW w:w="3960" w:type="dxa"/>
            <w:tcBorders>
              <w:top w:val="single" w:sz="4" w:space="0" w:color="auto"/>
              <w:left w:val="single" w:sz="4" w:space="0" w:color="auto"/>
              <w:bottom w:val="single" w:sz="4" w:space="0" w:color="auto"/>
              <w:right w:val="single" w:sz="4" w:space="0" w:color="auto"/>
            </w:tcBorders>
          </w:tcPr>
          <w:p w14:paraId="62C1E491" w14:textId="77777777" w:rsidR="00D2305E" w:rsidRPr="00BA6536" w:rsidRDefault="00D2305E" w:rsidP="002B4CDA">
            <w:pPr>
              <w:pStyle w:val="Heading3"/>
              <w:tabs>
                <w:tab w:val="left" w:pos="900"/>
              </w:tabs>
              <w:rPr>
                <w:rFonts w:asciiTheme="minorHAnsi" w:hAnsiTheme="minorHAnsi"/>
                <w:bCs w:val="0"/>
                <w:sz w:val="22"/>
                <w:szCs w:val="22"/>
              </w:rPr>
            </w:pPr>
          </w:p>
          <w:p w14:paraId="436A6FDC" w14:textId="77777777" w:rsidR="00D2305E" w:rsidRPr="00BA6536" w:rsidRDefault="00D2305E" w:rsidP="002B4CDA">
            <w:pPr>
              <w:pStyle w:val="Heading3"/>
              <w:tabs>
                <w:tab w:val="left" w:pos="900"/>
              </w:tabs>
              <w:jc w:val="center"/>
              <w:rPr>
                <w:rFonts w:asciiTheme="minorHAnsi" w:hAnsiTheme="minorHAnsi"/>
                <w:bCs w:val="0"/>
                <w:sz w:val="22"/>
                <w:szCs w:val="22"/>
              </w:rPr>
            </w:pPr>
            <w:bookmarkStart w:id="215" w:name="_Toc383700036"/>
            <w:r w:rsidRPr="00BA6536">
              <w:rPr>
                <w:rFonts w:asciiTheme="minorHAnsi" w:hAnsiTheme="minorHAnsi"/>
                <w:bCs w:val="0"/>
                <w:sz w:val="22"/>
                <w:szCs w:val="22"/>
              </w:rPr>
              <w:t>TYPE OF PERMIT</w:t>
            </w:r>
            <w:bookmarkEnd w:id="215"/>
          </w:p>
        </w:tc>
        <w:tc>
          <w:tcPr>
            <w:tcW w:w="1170" w:type="dxa"/>
            <w:tcBorders>
              <w:top w:val="single" w:sz="4" w:space="0" w:color="auto"/>
              <w:left w:val="single" w:sz="4" w:space="0" w:color="auto"/>
              <w:bottom w:val="single" w:sz="4" w:space="0" w:color="auto"/>
              <w:right w:val="single" w:sz="4" w:space="0" w:color="auto"/>
            </w:tcBorders>
          </w:tcPr>
          <w:p w14:paraId="655214F3" w14:textId="77777777" w:rsidR="00D2305E" w:rsidRPr="00BA6536" w:rsidRDefault="00D2305E" w:rsidP="002B4CDA">
            <w:pPr>
              <w:pStyle w:val="Heading3"/>
              <w:tabs>
                <w:tab w:val="clear" w:pos="360"/>
                <w:tab w:val="left" w:pos="342"/>
                <w:tab w:val="left" w:pos="900"/>
              </w:tabs>
              <w:jc w:val="center"/>
              <w:rPr>
                <w:rFonts w:asciiTheme="minorHAnsi" w:hAnsiTheme="minorHAnsi"/>
                <w:bCs w:val="0"/>
                <w:sz w:val="22"/>
                <w:szCs w:val="22"/>
              </w:rPr>
            </w:pPr>
          </w:p>
          <w:p w14:paraId="18FA99CD" w14:textId="77777777" w:rsidR="00D2305E" w:rsidRPr="00BA6536" w:rsidRDefault="00D2305E" w:rsidP="002B4CDA">
            <w:pPr>
              <w:pStyle w:val="Heading3"/>
              <w:tabs>
                <w:tab w:val="clear" w:pos="360"/>
                <w:tab w:val="left" w:pos="342"/>
                <w:tab w:val="left" w:pos="900"/>
              </w:tabs>
              <w:jc w:val="center"/>
              <w:rPr>
                <w:rFonts w:asciiTheme="minorHAnsi" w:hAnsiTheme="minorHAnsi"/>
                <w:bCs w:val="0"/>
                <w:sz w:val="22"/>
                <w:szCs w:val="22"/>
              </w:rPr>
            </w:pPr>
            <w:bookmarkStart w:id="216" w:name="_Toc383700037"/>
            <w:r w:rsidRPr="00BA6536">
              <w:rPr>
                <w:rFonts w:asciiTheme="minorHAnsi" w:hAnsiTheme="minorHAnsi"/>
                <w:bCs w:val="0"/>
                <w:sz w:val="22"/>
                <w:szCs w:val="22"/>
              </w:rPr>
              <w:t>INITIAL DEPOSIT</w:t>
            </w:r>
            <w:bookmarkEnd w:id="216"/>
          </w:p>
        </w:tc>
        <w:tc>
          <w:tcPr>
            <w:tcW w:w="1890" w:type="dxa"/>
            <w:tcBorders>
              <w:top w:val="single" w:sz="4" w:space="0" w:color="auto"/>
              <w:left w:val="single" w:sz="4" w:space="0" w:color="auto"/>
              <w:bottom w:val="single" w:sz="4" w:space="0" w:color="auto"/>
              <w:right w:val="single" w:sz="4" w:space="0" w:color="auto"/>
            </w:tcBorders>
          </w:tcPr>
          <w:p w14:paraId="60EB1A0C" w14:textId="77777777" w:rsidR="00D2305E" w:rsidRPr="00BA6536" w:rsidRDefault="00D2305E" w:rsidP="002B4CDA">
            <w:pPr>
              <w:pStyle w:val="Heading3"/>
              <w:tabs>
                <w:tab w:val="clear" w:pos="360"/>
                <w:tab w:val="left" w:pos="342"/>
                <w:tab w:val="left" w:pos="900"/>
              </w:tabs>
              <w:jc w:val="center"/>
              <w:rPr>
                <w:rFonts w:asciiTheme="minorHAnsi" w:hAnsiTheme="minorHAnsi"/>
                <w:bCs w:val="0"/>
                <w:sz w:val="22"/>
                <w:szCs w:val="22"/>
              </w:rPr>
            </w:pPr>
          </w:p>
          <w:p w14:paraId="365330A0" w14:textId="77777777" w:rsidR="00D2305E" w:rsidRPr="00BA6536" w:rsidRDefault="00D2305E" w:rsidP="002B4CDA">
            <w:pPr>
              <w:jc w:val="center"/>
              <w:rPr>
                <w:b/>
              </w:rPr>
            </w:pPr>
            <w:r w:rsidRPr="00BA6536">
              <w:rPr>
                <w:b/>
              </w:rPr>
              <w:t>TYPICAL STAFF HOURS</w:t>
            </w:r>
          </w:p>
          <w:p w14:paraId="307D440A" w14:textId="77777777" w:rsidR="00D2305E" w:rsidRPr="00BA6536" w:rsidRDefault="00D2305E" w:rsidP="002B4CDA">
            <w:pPr>
              <w:tabs>
                <w:tab w:val="left" w:pos="900"/>
              </w:tabs>
              <w:jc w:val="center"/>
              <w:rPr>
                <w:b/>
              </w:rPr>
            </w:pPr>
            <w:r w:rsidRPr="00BA6536">
              <w:rPr>
                <w:b/>
              </w:rPr>
              <w:t>TO PROCESS</w:t>
            </w:r>
          </w:p>
        </w:tc>
        <w:tc>
          <w:tcPr>
            <w:tcW w:w="1620" w:type="dxa"/>
            <w:tcBorders>
              <w:top w:val="single" w:sz="4" w:space="0" w:color="auto"/>
              <w:left w:val="single" w:sz="4" w:space="0" w:color="auto"/>
              <w:bottom w:val="single" w:sz="4" w:space="0" w:color="auto"/>
              <w:right w:val="single" w:sz="4" w:space="0" w:color="auto"/>
            </w:tcBorders>
          </w:tcPr>
          <w:p w14:paraId="50A80C46" w14:textId="77777777" w:rsidR="00D2305E" w:rsidRPr="00BA6536" w:rsidRDefault="00D2305E" w:rsidP="002B4CDA">
            <w:pPr>
              <w:jc w:val="center"/>
              <w:rPr>
                <w:b/>
              </w:rPr>
            </w:pPr>
          </w:p>
          <w:p w14:paraId="59EBAEB2" w14:textId="77777777" w:rsidR="00D2305E" w:rsidRPr="00BA6536" w:rsidRDefault="00D2305E" w:rsidP="002B4CDA">
            <w:pPr>
              <w:jc w:val="center"/>
              <w:rPr>
                <w:b/>
              </w:rPr>
            </w:pPr>
            <w:r w:rsidRPr="00BA6536">
              <w:rPr>
                <w:b/>
              </w:rPr>
              <w:t xml:space="preserve">PROCESSING </w:t>
            </w:r>
          </w:p>
          <w:p w14:paraId="4199D7A1" w14:textId="77777777" w:rsidR="00D2305E" w:rsidRPr="00BA6536" w:rsidRDefault="00D2305E" w:rsidP="002B4CDA">
            <w:pPr>
              <w:jc w:val="center"/>
              <w:rPr>
                <w:b/>
              </w:rPr>
            </w:pPr>
            <w:r w:rsidRPr="00BA6536">
              <w:rPr>
                <w:b/>
              </w:rPr>
              <w:t>RATE</w:t>
            </w:r>
          </w:p>
        </w:tc>
      </w:tr>
      <w:tr w:rsidR="00D2305E" w:rsidRPr="00BA6536" w14:paraId="1FE8CC8A" w14:textId="77777777" w:rsidTr="002B4CDA">
        <w:tc>
          <w:tcPr>
            <w:tcW w:w="3960" w:type="dxa"/>
            <w:tcBorders>
              <w:top w:val="single" w:sz="4" w:space="0" w:color="auto"/>
              <w:left w:val="single" w:sz="4" w:space="0" w:color="auto"/>
              <w:bottom w:val="single" w:sz="4" w:space="0" w:color="auto"/>
              <w:right w:val="single" w:sz="4" w:space="0" w:color="auto"/>
            </w:tcBorders>
          </w:tcPr>
          <w:p w14:paraId="70858794" w14:textId="77777777" w:rsidR="00D2305E" w:rsidRPr="00BA6536" w:rsidRDefault="00D2305E" w:rsidP="002B4CDA">
            <w:pPr>
              <w:pStyle w:val="Heading3"/>
              <w:tabs>
                <w:tab w:val="clear" w:pos="360"/>
                <w:tab w:val="left" w:pos="162"/>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17" w:name="_Toc383700038"/>
            <w:r w:rsidRPr="00BA6536">
              <w:rPr>
                <w:rFonts w:asciiTheme="minorHAnsi" w:hAnsiTheme="minorHAnsi"/>
                <w:b w:val="0"/>
                <w:bCs w:val="0"/>
                <w:sz w:val="22"/>
                <w:szCs w:val="22"/>
              </w:rPr>
              <w:t>Appeal</w:t>
            </w:r>
            <w:bookmarkEnd w:id="217"/>
          </w:p>
        </w:tc>
        <w:tc>
          <w:tcPr>
            <w:tcW w:w="1170" w:type="dxa"/>
            <w:tcBorders>
              <w:top w:val="single" w:sz="4" w:space="0" w:color="auto"/>
              <w:left w:val="single" w:sz="4" w:space="0" w:color="auto"/>
              <w:bottom w:val="single" w:sz="4" w:space="0" w:color="auto"/>
              <w:right w:val="single" w:sz="4" w:space="0" w:color="auto"/>
            </w:tcBorders>
          </w:tcPr>
          <w:p w14:paraId="4DAF1B85"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18" w:name="_Toc383700039"/>
            <w:r w:rsidRPr="00BA6536">
              <w:rPr>
                <w:rFonts w:asciiTheme="minorHAnsi" w:hAnsiTheme="minorHAnsi"/>
                <w:b w:val="0"/>
                <w:bCs w:val="0"/>
                <w:sz w:val="22"/>
                <w:szCs w:val="22"/>
              </w:rPr>
              <w:t>$495</w:t>
            </w:r>
            <w:bookmarkEnd w:id="218"/>
          </w:p>
        </w:tc>
        <w:tc>
          <w:tcPr>
            <w:tcW w:w="1890" w:type="dxa"/>
            <w:tcBorders>
              <w:top w:val="single" w:sz="4" w:space="0" w:color="auto"/>
              <w:left w:val="single" w:sz="4" w:space="0" w:color="auto"/>
              <w:bottom w:val="single" w:sz="4" w:space="0" w:color="auto"/>
              <w:right w:val="single" w:sz="4" w:space="0" w:color="auto"/>
            </w:tcBorders>
          </w:tcPr>
          <w:p w14:paraId="51BFA6BD"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19" w:name="_Toc383700040"/>
            <w:r w:rsidRPr="00BA6536">
              <w:rPr>
                <w:rFonts w:asciiTheme="minorHAnsi" w:hAnsiTheme="minorHAnsi"/>
                <w:b w:val="0"/>
                <w:bCs w:val="0"/>
                <w:sz w:val="22"/>
                <w:szCs w:val="22"/>
              </w:rPr>
              <w:t>10</w:t>
            </w:r>
            <w:bookmarkEnd w:id="219"/>
          </w:p>
        </w:tc>
        <w:tc>
          <w:tcPr>
            <w:tcW w:w="1620" w:type="dxa"/>
            <w:tcBorders>
              <w:top w:val="single" w:sz="4" w:space="0" w:color="auto"/>
              <w:left w:val="single" w:sz="4" w:space="0" w:color="auto"/>
              <w:bottom w:val="single" w:sz="4" w:space="0" w:color="auto"/>
              <w:right w:val="single" w:sz="4" w:space="0" w:color="auto"/>
            </w:tcBorders>
          </w:tcPr>
          <w:p w14:paraId="406C904E"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20" w:name="_Toc383700041"/>
            <w:r w:rsidRPr="00BA6536">
              <w:rPr>
                <w:rFonts w:asciiTheme="minorHAnsi" w:hAnsiTheme="minorHAnsi"/>
                <w:b w:val="0"/>
                <w:bCs w:val="0"/>
                <w:sz w:val="22"/>
                <w:szCs w:val="22"/>
              </w:rPr>
              <w:t>$99/hr</w:t>
            </w:r>
            <w:bookmarkEnd w:id="220"/>
          </w:p>
        </w:tc>
      </w:tr>
      <w:tr w:rsidR="00D2305E" w:rsidRPr="00BA6536" w14:paraId="27096BC5" w14:textId="77777777" w:rsidTr="002B4CDA">
        <w:tc>
          <w:tcPr>
            <w:tcW w:w="3960" w:type="dxa"/>
            <w:tcBorders>
              <w:top w:val="single" w:sz="4" w:space="0" w:color="auto"/>
              <w:left w:val="single" w:sz="4" w:space="0" w:color="auto"/>
              <w:bottom w:val="single" w:sz="4" w:space="0" w:color="auto"/>
              <w:right w:val="single" w:sz="4" w:space="0" w:color="auto"/>
            </w:tcBorders>
          </w:tcPr>
          <w:p w14:paraId="40FB998F"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21" w:name="_Toc383700042"/>
            <w:r w:rsidRPr="00BA6536">
              <w:rPr>
                <w:rFonts w:asciiTheme="minorHAnsi" w:hAnsiTheme="minorHAnsi"/>
                <w:b w:val="0"/>
                <w:bCs w:val="0"/>
                <w:sz w:val="22"/>
                <w:szCs w:val="22"/>
              </w:rPr>
              <w:t>Building Permit Plan Check: small*</w:t>
            </w:r>
            <w:bookmarkEnd w:id="221"/>
          </w:p>
        </w:tc>
        <w:tc>
          <w:tcPr>
            <w:tcW w:w="1170" w:type="dxa"/>
            <w:tcBorders>
              <w:top w:val="single" w:sz="4" w:space="0" w:color="auto"/>
              <w:left w:val="single" w:sz="4" w:space="0" w:color="auto"/>
              <w:bottom w:val="single" w:sz="4" w:space="0" w:color="auto"/>
              <w:right w:val="single" w:sz="4" w:space="0" w:color="auto"/>
            </w:tcBorders>
          </w:tcPr>
          <w:p w14:paraId="0F3ECB1C"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22" w:name="_Toc383700043"/>
            <w:r w:rsidRPr="00BA6536">
              <w:rPr>
                <w:rFonts w:asciiTheme="minorHAnsi" w:hAnsiTheme="minorHAnsi"/>
                <w:b w:val="0"/>
                <w:bCs w:val="0"/>
                <w:sz w:val="22"/>
                <w:szCs w:val="22"/>
              </w:rPr>
              <w:t>$  99</w:t>
            </w:r>
            <w:bookmarkEnd w:id="222"/>
          </w:p>
        </w:tc>
        <w:tc>
          <w:tcPr>
            <w:tcW w:w="1890" w:type="dxa"/>
            <w:tcBorders>
              <w:top w:val="single" w:sz="4" w:space="0" w:color="auto"/>
              <w:left w:val="single" w:sz="4" w:space="0" w:color="auto"/>
              <w:bottom w:val="single" w:sz="4" w:space="0" w:color="auto"/>
              <w:right w:val="single" w:sz="4" w:space="0" w:color="auto"/>
            </w:tcBorders>
          </w:tcPr>
          <w:p w14:paraId="7702A193"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23" w:name="_Toc383700044"/>
            <w:r w:rsidRPr="00BA6536">
              <w:rPr>
                <w:rFonts w:asciiTheme="minorHAnsi" w:hAnsiTheme="minorHAnsi"/>
                <w:b w:val="0"/>
                <w:bCs w:val="0"/>
                <w:sz w:val="22"/>
                <w:szCs w:val="22"/>
              </w:rPr>
              <w:t>1</w:t>
            </w:r>
            <w:bookmarkEnd w:id="223"/>
          </w:p>
        </w:tc>
        <w:tc>
          <w:tcPr>
            <w:tcW w:w="1620" w:type="dxa"/>
            <w:tcBorders>
              <w:top w:val="single" w:sz="4" w:space="0" w:color="auto"/>
              <w:left w:val="single" w:sz="4" w:space="0" w:color="auto"/>
              <w:bottom w:val="single" w:sz="4" w:space="0" w:color="auto"/>
              <w:right w:val="single" w:sz="4" w:space="0" w:color="auto"/>
            </w:tcBorders>
          </w:tcPr>
          <w:p w14:paraId="3AFD6B48"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24" w:name="_Toc383700045"/>
            <w:r w:rsidRPr="00BA6536">
              <w:rPr>
                <w:rFonts w:asciiTheme="minorHAnsi" w:hAnsiTheme="minorHAnsi"/>
                <w:b w:val="0"/>
                <w:bCs w:val="0"/>
                <w:sz w:val="22"/>
                <w:szCs w:val="22"/>
              </w:rPr>
              <w:t>$99/hr</w:t>
            </w:r>
            <w:bookmarkEnd w:id="224"/>
          </w:p>
        </w:tc>
      </w:tr>
      <w:tr w:rsidR="00D2305E" w:rsidRPr="00BA6536" w14:paraId="19DA7A29" w14:textId="77777777" w:rsidTr="002B4CDA">
        <w:tc>
          <w:tcPr>
            <w:tcW w:w="3960" w:type="dxa"/>
            <w:tcBorders>
              <w:top w:val="single" w:sz="4" w:space="0" w:color="auto"/>
              <w:left w:val="single" w:sz="4" w:space="0" w:color="auto"/>
              <w:bottom w:val="single" w:sz="4" w:space="0" w:color="auto"/>
              <w:right w:val="single" w:sz="4" w:space="0" w:color="auto"/>
            </w:tcBorders>
          </w:tcPr>
          <w:p w14:paraId="2F782A67"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25" w:name="_Toc383700046"/>
            <w:r w:rsidRPr="00BA6536">
              <w:rPr>
                <w:rFonts w:asciiTheme="minorHAnsi" w:hAnsiTheme="minorHAnsi"/>
                <w:b w:val="0"/>
                <w:bCs w:val="0"/>
                <w:sz w:val="22"/>
                <w:szCs w:val="22"/>
              </w:rPr>
              <w:t>Building Permit Plan Check: large*</w:t>
            </w:r>
            <w:bookmarkEnd w:id="225"/>
          </w:p>
        </w:tc>
        <w:tc>
          <w:tcPr>
            <w:tcW w:w="1170" w:type="dxa"/>
            <w:tcBorders>
              <w:top w:val="single" w:sz="4" w:space="0" w:color="auto"/>
              <w:left w:val="single" w:sz="4" w:space="0" w:color="auto"/>
              <w:bottom w:val="single" w:sz="4" w:space="0" w:color="auto"/>
              <w:right w:val="single" w:sz="4" w:space="0" w:color="auto"/>
            </w:tcBorders>
          </w:tcPr>
          <w:p w14:paraId="2FFF6FFC"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26" w:name="_Toc383700047"/>
            <w:r w:rsidRPr="00BA6536">
              <w:rPr>
                <w:rFonts w:asciiTheme="minorHAnsi" w:hAnsiTheme="minorHAnsi"/>
                <w:b w:val="0"/>
                <w:bCs w:val="0"/>
                <w:sz w:val="22"/>
                <w:szCs w:val="22"/>
              </w:rPr>
              <w:t>$250</w:t>
            </w:r>
            <w:bookmarkEnd w:id="226"/>
          </w:p>
        </w:tc>
        <w:tc>
          <w:tcPr>
            <w:tcW w:w="1890" w:type="dxa"/>
            <w:tcBorders>
              <w:top w:val="single" w:sz="4" w:space="0" w:color="auto"/>
              <w:left w:val="single" w:sz="4" w:space="0" w:color="auto"/>
              <w:bottom w:val="single" w:sz="4" w:space="0" w:color="auto"/>
              <w:right w:val="single" w:sz="4" w:space="0" w:color="auto"/>
            </w:tcBorders>
          </w:tcPr>
          <w:p w14:paraId="7577E3B8"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27" w:name="_Toc383700048"/>
            <w:r w:rsidRPr="00BA6536">
              <w:rPr>
                <w:rFonts w:asciiTheme="minorHAnsi" w:hAnsiTheme="minorHAnsi"/>
                <w:b w:val="0"/>
                <w:bCs w:val="0"/>
                <w:sz w:val="22"/>
                <w:szCs w:val="22"/>
              </w:rPr>
              <w:t>2.5</w:t>
            </w:r>
            <w:bookmarkEnd w:id="227"/>
          </w:p>
        </w:tc>
        <w:tc>
          <w:tcPr>
            <w:tcW w:w="1620" w:type="dxa"/>
            <w:tcBorders>
              <w:top w:val="single" w:sz="4" w:space="0" w:color="auto"/>
              <w:left w:val="single" w:sz="4" w:space="0" w:color="auto"/>
              <w:bottom w:val="single" w:sz="4" w:space="0" w:color="auto"/>
              <w:right w:val="single" w:sz="4" w:space="0" w:color="auto"/>
            </w:tcBorders>
          </w:tcPr>
          <w:p w14:paraId="13680D7F"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28" w:name="_Toc383700049"/>
            <w:r w:rsidRPr="00BA6536">
              <w:rPr>
                <w:rFonts w:asciiTheme="minorHAnsi" w:hAnsiTheme="minorHAnsi"/>
                <w:b w:val="0"/>
                <w:bCs w:val="0"/>
                <w:sz w:val="22"/>
                <w:szCs w:val="22"/>
              </w:rPr>
              <w:t>$99/hr</w:t>
            </w:r>
            <w:bookmarkEnd w:id="228"/>
          </w:p>
        </w:tc>
      </w:tr>
      <w:tr w:rsidR="00D2305E" w:rsidRPr="00BA6536" w14:paraId="35C8F778" w14:textId="77777777" w:rsidTr="002B4CDA">
        <w:tc>
          <w:tcPr>
            <w:tcW w:w="3960" w:type="dxa"/>
            <w:tcBorders>
              <w:top w:val="single" w:sz="4" w:space="0" w:color="auto"/>
              <w:left w:val="single" w:sz="4" w:space="0" w:color="auto"/>
              <w:bottom w:val="single" w:sz="4" w:space="0" w:color="auto"/>
              <w:right w:val="single" w:sz="4" w:space="0" w:color="auto"/>
            </w:tcBorders>
          </w:tcPr>
          <w:p w14:paraId="6D8D3322"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29" w:name="_Toc383700050"/>
            <w:r w:rsidRPr="00BA6536">
              <w:rPr>
                <w:rFonts w:asciiTheme="minorHAnsi" w:hAnsiTheme="minorHAnsi"/>
                <w:b w:val="0"/>
                <w:bCs w:val="0"/>
                <w:sz w:val="22"/>
                <w:szCs w:val="22"/>
              </w:rPr>
              <w:t>Categorical Exemption</w:t>
            </w:r>
            <w:bookmarkEnd w:id="229"/>
          </w:p>
        </w:tc>
        <w:tc>
          <w:tcPr>
            <w:tcW w:w="1170" w:type="dxa"/>
            <w:tcBorders>
              <w:top w:val="single" w:sz="4" w:space="0" w:color="auto"/>
              <w:left w:val="single" w:sz="4" w:space="0" w:color="auto"/>
              <w:bottom w:val="single" w:sz="4" w:space="0" w:color="auto"/>
              <w:right w:val="single" w:sz="4" w:space="0" w:color="auto"/>
            </w:tcBorders>
          </w:tcPr>
          <w:p w14:paraId="5CEFA10D"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30" w:name="_Toc383700051"/>
            <w:r w:rsidRPr="00BA6536">
              <w:rPr>
                <w:rFonts w:asciiTheme="minorHAnsi" w:hAnsiTheme="minorHAnsi"/>
                <w:b w:val="0"/>
                <w:bCs w:val="0"/>
                <w:sz w:val="22"/>
                <w:szCs w:val="22"/>
              </w:rPr>
              <w:t>$  99</w:t>
            </w:r>
            <w:bookmarkEnd w:id="230"/>
          </w:p>
        </w:tc>
        <w:tc>
          <w:tcPr>
            <w:tcW w:w="1890" w:type="dxa"/>
            <w:tcBorders>
              <w:top w:val="single" w:sz="4" w:space="0" w:color="auto"/>
              <w:left w:val="single" w:sz="4" w:space="0" w:color="auto"/>
              <w:bottom w:val="single" w:sz="4" w:space="0" w:color="auto"/>
              <w:right w:val="single" w:sz="4" w:space="0" w:color="auto"/>
            </w:tcBorders>
          </w:tcPr>
          <w:p w14:paraId="700259BE"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31" w:name="_Toc383700052"/>
            <w:r w:rsidRPr="00BA6536">
              <w:rPr>
                <w:rFonts w:asciiTheme="minorHAnsi" w:hAnsiTheme="minorHAnsi"/>
                <w:b w:val="0"/>
                <w:bCs w:val="0"/>
                <w:sz w:val="22"/>
                <w:szCs w:val="22"/>
              </w:rPr>
              <w:t>1</w:t>
            </w:r>
            <w:bookmarkEnd w:id="231"/>
          </w:p>
        </w:tc>
        <w:tc>
          <w:tcPr>
            <w:tcW w:w="1620" w:type="dxa"/>
            <w:tcBorders>
              <w:top w:val="single" w:sz="4" w:space="0" w:color="auto"/>
              <w:left w:val="single" w:sz="4" w:space="0" w:color="auto"/>
              <w:bottom w:val="single" w:sz="4" w:space="0" w:color="auto"/>
              <w:right w:val="single" w:sz="4" w:space="0" w:color="auto"/>
            </w:tcBorders>
          </w:tcPr>
          <w:p w14:paraId="2539CF0D"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32" w:name="_Toc383700053"/>
            <w:r w:rsidRPr="00BA6536">
              <w:rPr>
                <w:rFonts w:asciiTheme="minorHAnsi" w:hAnsiTheme="minorHAnsi"/>
                <w:b w:val="0"/>
                <w:bCs w:val="0"/>
                <w:sz w:val="22"/>
                <w:szCs w:val="22"/>
              </w:rPr>
              <w:t>$99/hr</w:t>
            </w:r>
            <w:bookmarkEnd w:id="232"/>
          </w:p>
        </w:tc>
      </w:tr>
      <w:tr w:rsidR="00D2305E" w:rsidRPr="00BA6536" w14:paraId="6B235D2E" w14:textId="77777777" w:rsidTr="002B4CDA">
        <w:tc>
          <w:tcPr>
            <w:tcW w:w="3960" w:type="dxa"/>
            <w:tcBorders>
              <w:top w:val="single" w:sz="4" w:space="0" w:color="auto"/>
              <w:left w:val="single" w:sz="4" w:space="0" w:color="auto"/>
              <w:bottom w:val="single" w:sz="4" w:space="0" w:color="auto"/>
              <w:right w:val="single" w:sz="4" w:space="0" w:color="auto"/>
            </w:tcBorders>
          </w:tcPr>
          <w:p w14:paraId="79CA96F3"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33" w:name="_Toc383700054"/>
            <w:r w:rsidRPr="00BA6536">
              <w:rPr>
                <w:rFonts w:asciiTheme="minorHAnsi" w:hAnsiTheme="minorHAnsi"/>
                <w:b w:val="0"/>
                <w:bCs w:val="0"/>
                <w:sz w:val="22"/>
                <w:szCs w:val="22"/>
              </w:rPr>
              <w:t>Certificate of Compliance</w:t>
            </w:r>
            <w:bookmarkEnd w:id="233"/>
          </w:p>
        </w:tc>
        <w:tc>
          <w:tcPr>
            <w:tcW w:w="1170" w:type="dxa"/>
            <w:tcBorders>
              <w:top w:val="single" w:sz="4" w:space="0" w:color="auto"/>
              <w:left w:val="single" w:sz="4" w:space="0" w:color="auto"/>
              <w:bottom w:val="single" w:sz="4" w:space="0" w:color="auto"/>
              <w:right w:val="single" w:sz="4" w:space="0" w:color="auto"/>
            </w:tcBorders>
          </w:tcPr>
          <w:p w14:paraId="6C0DD8BE"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34" w:name="_Toc383700055"/>
            <w:r w:rsidRPr="00BA6536">
              <w:rPr>
                <w:rFonts w:asciiTheme="minorHAnsi" w:hAnsiTheme="minorHAnsi"/>
                <w:b w:val="0"/>
                <w:bCs w:val="0"/>
                <w:sz w:val="22"/>
                <w:szCs w:val="22"/>
              </w:rPr>
              <w:t>$495</w:t>
            </w:r>
            <w:bookmarkEnd w:id="234"/>
          </w:p>
        </w:tc>
        <w:tc>
          <w:tcPr>
            <w:tcW w:w="1890" w:type="dxa"/>
            <w:tcBorders>
              <w:top w:val="single" w:sz="4" w:space="0" w:color="auto"/>
              <w:left w:val="single" w:sz="4" w:space="0" w:color="auto"/>
              <w:bottom w:val="single" w:sz="4" w:space="0" w:color="auto"/>
              <w:right w:val="single" w:sz="4" w:space="0" w:color="auto"/>
            </w:tcBorders>
          </w:tcPr>
          <w:p w14:paraId="6A40E396"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35" w:name="_Toc383700056"/>
            <w:r w:rsidRPr="00BA6536">
              <w:rPr>
                <w:rFonts w:asciiTheme="minorHAnsi" w:hAnsiTheme="minorHAnsi"/>
                <w:b w:val="0"/>
                <w:bCs w:val="0"/>
                <w:sz w:val="22"/>
                <w:szCs w:val="22"/>
              </w:rPr>
              <w:t>15</w:t>
            </w:r>
            <w:bookmarkEnd w:id="235"/>
          </w:p>
        </w:tc>
        <w:tc>
          <w:tcPr>
            <w:tcW w:w="1620" w:type="dxa"/>
            <w:tcBorders>
              <w:top w:val="single" w:sz="4" w:space="0" w:color="auto"/>
              <w:left w:val="single" w:sz="4" w:space="0" w:color="auto"/>
              <w:bottom w:val="single" w:sz="4" w:space="0" w:color="auto"/>
              <w:right w:val="single" w:sz="4" w:space="0" w:color="auto"/>
            </w:tcBorders>
          </w:tcPr>
          <w:p w14:paraId="5667E75A"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36" w:name="_Toc383700057"/>
            <w:r w:rsidRPr="00BA6536">
              <w:rPr>
                <w:rFonts w:asciiTheme="minorHAnsi" w:hAnsiTheme="minorHAnsi"/>
                <w:b w:val="0"/>
                <w:bCs w:val="0"/>
                <w:sz w:val="22"/>
                <w:szCs w:val="22"/>
              </w:rPr>
              <w:t>$99/hr</w:t>
            </w:r>
            <w:bookmarkEnd w:id="236"/>
          </w:p>
        </w:tc>
      </w:tr>
      <w:tr w:rsidR="00D2305E" w:rsidRPr="00BA6536" w14:paraId="23F10905" w14:textId="77777777" w:rsidTr="002B4CDA">
        <w:tc>
          <w:tcPr>
            <w:tcW w:w="3960" w:type="dxa"/>
            <w:tcBorders>
              <w:top w:val="single" w:sz="4" w:space="0" w:color="auto"/>
              <w:left w:val="single" w:sz="4" w:space="0" w:color="auto"/>
              <w:bottom w:val="single" w:sz="4" w:space="0" w:color="auto"/>
              <w:right w:val="single" w:sz="4" w:space="0" w:color="auto"/>
            </w:tcBorders>
          </w:tcPr>
          <w:p w14:paraId="46BAA6B8"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37" w:name="_Toc383700058"/>
            <w:r w:rsidRPr="00BA6536">
              <w:rPr>
                <w:rFonts w:asciiTheme="minorHAnsi" w:hAnsiTheme="minorHAnsi"/>
                <w:b w:val="0"/>
                <w:bCs w:val="0"/>
                <w:sz w:val="22"/>
                <w:szCs w:val="22"/>
              </w:rPr>
              <w:t>Commission Interpretation</w:t>
            </w:r>
            <w:bookmarkEnd w:id="237"/>
          </w:p>
        </w:tc>
        <w:tc>
          <w:tcPr>
            <w:tcW w:w="1170" w:type="dxa"/>
            <w:tcBorders>
              <w:top w:val="single" w:sz="4" w:space="0" w:color="auto"/>
              <w:left w:val="single" w:sz="4" w:space="0" w:color="auto"/>
              <w:bottom w:val="single" w:sz="4" w:space="0" w:color="auto"/>
              <w:right w:val="single" w:sz="4" w:space="0" w:color="auto"/>
            </w:tcBorders>
          </w:tcPr>
          <w:p w14:paraId="019AC82D"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38" w:name="_Toc383700059"/>
            <w:r w:rsidRPr="00BA6536">
              <w:rPr>
                <w:rFonts w:asciiTheme="minorHAnsi" w:hAnsiTheme="minorHAnsi"/>
                <w:b w:val="0"/>
                <w:bCs w:val="0"/>
                <w:sz w:val="22"/>
                <w:szCs w:val="22"/>
              </w:rPr>
              <w:t>$495</w:t>
            </w:r>
            <w:bookmarkEnd w:id="238"/>
          </w:p>
        </w:tc>
        <w:tc>
          <w:tcPr>
            <w:tcW w:w="1890" w:type="dxa"/>
            <w:tcBorders>
              <w:top w:val="single" w:sz="4" w:space="0" w:color="auto"/>
              <w:left w:val="single" w:sz="4" w:space="0" w:color="auto"/>
              <w:bottom w:val="single" w:sz="4" w:space="0" w:color="auto"/>
              <w:right w:val="single" w:sz="4" w:space="0" w:color="auto"/>
            </w:tcBorders>
          </w:tcPr>
          <w:p w14:paraId="29FE05F8"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39" w:name="_Toc383700060"/>
            <w:r w:rsidRPr="00BA6536">
              <w:rPr>
                <w:rFonts w:asciiTheme="minorHAnsi" w:hAnsiTheme="minorHAnsi"/>
                <w:b w:val="0"/>
                <w:bCs w:val="0"/>
                <w:sz w:val="22"/>
                <w:szCs w:val="22"/>
              </w:rPr>
              <w:t>10</w:t>
            </w:r>
            <w:bookmarkEnd w:id="239"/>
          </w:p>
        </w:tc>
        <w:tc>
          <w:tcPr>
            <w:tcW w:w="1620" w:type="dxa"/>
            <w:tcBorders>
              <w:top w:val="single" w:sz="4" w:space="0" w:color="auto"/>
              <w:left w:val="single" w:sz="4" w:space="0" w:color="auto"/>
              <w:bottom w:val="single" w:sz="4" w:space="0" w:color="auto"/>
              <w:right w:val="single" w:sz="4" w:space="0" w:color="auto"/>
            </w:tcBorders>
          </w:tcPr>
          <w:p w14:paraId="1137C79A"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40" w:name="_Toc383700061"/>
            <w:r w:rsidRPr="00BA6536">
              <w:rPr>
                <w:rFonts w:asciiTheme="minorHAnsi" w:hAnsiTheme="minorHAnsi"/>
                <w:b w:val="0"/>
                <w:bCs w:val="0"/>
                <w:sz w:val="22"/>
                <w:szCs w:val="22"/>
              </w:rPr>
              <w:t>$99/hr</w:t>
            </w:r>
            <w:bookmarkEnd w:id="240"/>
          </w:p>
        </w:tc>
      </w:tr>
      <w:tr w:rsidR="00D2305E" w:rsidRPr="00BA6536" w14:paraId="577ABB2D" w14:textId="77777777" w:rsidTr="002B4CDA">
        <w:tc>
          <w:tcPr>
            <w:tcW w:w="3960" w:type="dxa"/>
            <w:tcBorders>
              <w:top w:val="single" w:sz="4" w:space="0" w:color="auto"/>
              <w:left w:val="single" w:sz="4" w:space="0" w:color="auto"/>
              <w:bottom w:val="single" w:sz="4" w:space="0" w:color="auto"/>
              <w:right w:val="single" w:sz="4" w:space="0" w:color="auto"/>
            </w:tcBorders>
          </w:tcPr>
          <w:p w14:paraId="70F3CB22"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41" w:name="_Toc383700062"/>
            <w:r w:rsidRPr="00BA6536">
              <w:rPr>
                <w:rFonts w:asciiTheme="minorHAnsi" w:hAnsiTheme="minorHAnsi"/>
                <w:b w:val="0"/>
                <w:bCs w:val="0"/>
                <w:sz w:val="22"/>
                <w:szCs w:val="22"/>
              </w:rPr>
              <w:t>Design Review (discretionary permit)</w:t>
            </w:r>
            <w:bookmarkEnd w:id="241"/>
          </w:p>
        </w:tc>
        <w:tc>
          <w:tcPr>
            <w:tcW w:w="1170" w:type="dxa"/>
            <w:tcBorders>
              <w:top w:val="single" w:sz="4" w:space="0" w:color="auto"/>
              <w:left w:val="single" w:sz="4" w:space="0" w:color="auto"/>
              <w:bottom w:val="single" w:sz="4" w:space="0" w:color="auto"/>
              <w:right w:val="single" w:sz="4" w:space="0" w:color="auto"/>
            </w:tcBorders>
          </w:tcPr>
          <w:p w14:paraId="53C4D664"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42" w:name="_Toc383700063"/>
            <w:r w:rsidRPr="00BA6536">
              <w:rPr>
                <w:rFonts w:asciiTheme="minorHAnsi" w:hAnsiTheme="minorHAnsi"/>
                <w:b w:val="0"/>
                <w:bCs w:val="0"/>
                <w:sz w:val="22"/>
                <w:szCs w:val="22"/>
              </w:rPr>
              <w:t>$495</w:t>
            </w:r>
            <w:bookmarkEnd w:id="242"/>
          </w:p>
        </w:tc>
        <w:tc>
          <w:tcPr>
            <w:tcW w:w="1890" w:type="dxa"/>
            <w:tcBorders>
              <w:top w:val="single" w:sz="4" w:space="0" w:color="auto"/>
              <w:left w:val="single" w:sz="4" w:space="0" w:color="auto"/>
              <w:bottom w:val="single" w:sz="4" w:space="0" w:color="auto"/>
              <w:right w:val="single" w:sz="4" w:space="0" w:color="auto"/>
            </w:tcBorders>
          </w:tcPr>
          <w:p w14:paraId="4161A64D"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43" w:name="_Toc383700064"/>
            <w:r w:rsidRPr="00BA6536">
              <w:rPr>
                <w:rFonts w:asciiTheme="minorHAnsi" w:hAnsiTheme="minorHAnsi"/>
                <w:b w:val="0"/>
                <w:bCs w:val="0"/>
                <w:sz w:val="22"/>
                <w:szCs w:val="22"/>
              </w:rPr>
              <w:t>1</w:t>
            </w:r>
            <w:bookmarkEnd w:id="243"/>
          </w:p>
        </w:tc>
        <w:tc>
          <w:tcPr>
            <w:tcW w:w="1620" w:type="dxa"/>
            <w:tcBorders>
              <w:top w:val="single" w:sz="4" w:space="0" w:color="auto"/>
              <w:left w:val="single" w:sz="4" w:space="0" w:color="auto"/>
              <w:bottom w:val="single" w:sz="4" w:space="0" w:color="auto"/>
              <w:right w:val="single" w:sz="4" w:space="0" w:color="auto"/>
            </w:tcBorders>
          </w:tcPr>
          <w:p w14:paraId="5A35A7FF"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44" w:name="_Toc383700065"/>
            <w:r w:rsidRPr="00BA6536">
              <w:rPr>
                <w:rFonts w:asciiTheme="minorHAnsi" w:hAnsiTheme="minorHAnsi"/>
                <w:b w:val="0"/>
                <w:bCs w:val="0"/>
                <w:sz w:val="22"/>
                <w:szCs w:val="22"/>
              </w:rPr>
              <w:t>$99/hr</w:t>
            </w:r>
            <w:bookmarkEnd w:id="244"/>
          </w:p>
        </w:tc>
      </w:tr>
      <w:tr w:rsidR="00D2305E" w:rsidRPr="00BA6536" w14:paraId="40FC1153" w14:textId="77777777" w:rsidTr="002B4CDA">
        <w:tc>
          <w:tcPr>
            <w:tcW w:w="3960" w:type="dxa"/>
            <w:tcBorders>
              <w:top w:val="single" w:sz="4" w:space="0" w:color="auto"/>
              <w:left w:val="single" w:sz="4" w:space="0" w:color="auto"/>
              <w:bottom w:val="single" w:sz="4" w:space="0" w:color="auto"/>
              <w:right w:val="single" w:sz="4" w:space="0" w:color="auto"/>
            </w:tcBorders>
          </w:tcPr>
          <w:p w14:paraId="1A6B8983"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45" w:name="_Toc383700066"/>
            <w:r w:rsidRPr="00BA6536">
              <w:rPr>
                <w:rFonts w:asciiTheme="minorHAnsi" w:hAnsiTheme="minorHAnsi"/>
                <w:b w:val="0"/>
                <w:bCs w:val="0"/>
                <w:sz w:val="22"/>
                <w:szCs w:val="22"/>
              </w:rPr>
              <w:t>Director Review</w:t>
            </w:r>
            <w:bookmarkEnd w:id="245"/>
          </w:p>
        </w:tc>
        <w:tc>
          <w:tcPr>
            <w:tcW w:w="1170" w:type="dxa"/>
            <w:tcBorders>
              <w:top w:val="single" w:sz="4" w:space="0" w:color="auto"/>
              <w:left w:val="single" w:sz="4" w:space="0" w:color="auto"/>
              <w:bottom w:val="single" w:sz="4" w:space="0" w:color="auto"/>
              <w:right w:val="single" w:sz="4" w:space="0" w:color="auto"/>
            </w:tcBorders>
          </w:tcPr>
          <w:p w14:paraId="2A872A1A"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46" w:name="_Toc383700067"/>
            <w:r w:rsidRPr="00BA6536">
              <w:rPr>
                <w:rFonts w:asciiTheme="minorHAnsi" w:hAnsiTheme="minorHAnsi"/>
                <w:b w:val="0"/>
                <w:bCs w:val="0"/>
                <w:sz w:val="22"/>
                <w:szCs w:val="22"/>
              </w:rPr>
              <w:t>$495</w:t>
            </w:r>
            <w:bookmarkEnd w:id="246"/>
          </w:p>
        </w:tc>
        <w:tc>
          <w:tcPr>
            <w:tcW w:w="1890" w:type="dxa"/>
            <w:tcBorders>
              <w:top w:val="single" w:sz="4" w:space="0" w:color="auto"/>
              <w:left w:val="single" w:sz="4" w:space="0" w:color="auto"/>
              <w:bottom w:val="single" w:sz="4" w:space="0" w:color="auto"/>
              <w:right w:val="single" w:sz="4" w:space="0" w:color="auto"/>
            </w:tcBorders>
          </w:tcPr>
          <w:p w14:paraId="1E66F42D"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47" w:name="_Toc383700068"/>
            <w:r w:rsidRPr="00BA6536">
              <w:rPr>
                <w:rFonts w:asciiTheme="minorHAnsi" w:hAnsiTheme="minorHAnsi"/>
                <w:b w:val="0"/>
                <w:bCs w:val="0"/>
                <w:sz w:val="22"/>
                <w:szCs w:val="22"/>
              </w:rPr>
              <w:t>8</w:t>
            </w:r>
            <w:bookmarkEnd w:id="247"/>
          </w:p>
        </w:tc>
        <w:tc>
          <w:tcPr>
            <w:tcW w:w="1620" w:type="dxa"/>
            <w:tcBorders>
              <w:top w:val="single" w:sz="4" w:space="0" w:color="auto"/>
              <w:left w:val="single" w:sz="4" w:space="0" w:color="auto"/>
              <w:bottom w:val="single" w:sz="4" w:space="0" w:color="auto"/>
              <w:right w:val="single" w:sz="4" w:space="0" w:color="auto"/>
            </w:tcBorders>
          </w:tcPr>
          <w:p w14:paraId="6EB215D2"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48" w:name="_Toc383700069"/>
            <w:r w:rsidRPr="00BA6536">
              <w:rPr>
                <w:rFonts w:asciiTheme="minorHAnsi" w:hAnsiTheme="minorHAnsi"/>
                <w:b w:val="0"/>
                <w:bCs w:val="0"/>
                <w:sz w:val="22"/>
                <w:szCs w:val="22"/>
              </w:rPr>
              <w:t>$99/hr</w:t>
            </w:r>
            <w:bookmarkEnd w:id="248"/>
          </w:p>
        </w:tc>
      </w:tr>
      <w:tr w:rsidR="00D2305E" w:rsidRPr="00BA6536" w14:paraId="34D35421" w14:textId="77777777" w:rsidTr="002B4CDA">
        <w:tc>
          <w:tcPr>
            <w:tcW w:w="3960" w:type="dxa"/>
            <w:tcBorders>
              <w:top w:val="single" w:sz="4" w:space="0" w:color="auto"/>
              <w:left w:val="single" w:sz="4" w:space="0" w:color="auto"/>
              <w:bottom w:val="single" w:sz="4" w:space="0" w:color="auto"/>
              <w:right w:val="single" w:sz="4" w:space="0" w:color="auto"/>
            </w:tcBorders>
          </w:tcPr>
          <w:p w14:paraId="213176B2"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49" w:name="_Toc383700070"/>
            <w:r w:rsidRPr="00BA6536">
              <w:rPr>
                <w:rFonts w:asciiTheme="minorHAnsi" w:hAnsiTheme="minorHAnsi"/>
                <w:b w:val="0"/>
                <w:bCs w:val="0"/>
                <w:sz w:val="22"/>
                <w:szCs w:val="22"/>
              </w:rPr>
              <w:t>Environmental Impact Report**</w:t>
            </w:r>
            <w:bookmarkEnd w:id="249"/>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14:paraId="01A34077"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50" w:name="_Toc383700071"/>
            <w:r w:rsidRPr="00BA6536">
              <w:rPr>
                <w:rFonts w:asciiTheme="minorHAnsi" w:hAnsiTheme="minorHAnsi"/>
                <w:b w:val="0"/>
                <w:bCs w:val="0"/>
                <w:sz w:val="22"/>
                <w:szCs w:val="22"/>
              </w:rPr>
              <w:t>$495</w:t>
            </w:r>
            <w:bookmarkEnd w:id="250"/>
          </w:p>
        </w:tc>
        <w:tc>
          <w:tcPr>
            <w:tcW w:w="1890" w:type="dxa"/>
            <w:tcBorders>
              <w:top w:val="single" w:sz="4" w:space="0" w:color="auto"/>
              <w:left w:val="single" w:sz="4" w:space="0" w:color="auto"/>
              <w:bottom w:val="single" w:sz="4" w:space="0" w:color="auto"/>
              <w:right w:val="single" w:sz="4" w:space="0" w:color="auto"/>
            </w:tcBorders>
          </w:tcPr>
          <w:p w14:paraId="6EECD8BD" w14:textId="77777777" w:rsidR="00D2305E" w:rsidRPr="00BA6536" w:rsidRDefault="00D2305E" w:rsidP="00D2305E">
            <w:pPr>
              <w:pStyle w:val="Heading3"/>
              <w:tabs>
                <w:tab w:val="clear" w:pos="360"/>
                <w:tab w:val="left" w:pos="342"/>
              </w:tabs>
              <w:jc w:val="center"/>
              <w:rPr>
                <w:rFonts w:asciiTheme="minorHAnsi" w:hAnsiTheme="minorHAnsi"/>
                <w:b w:val="0"/>
                <w:bCs w:val="0"/>
                <w:sz w:val="22"/>
                <w:szCs w:val="22"/>
              </w:rPr>
            </w:pPr>
            <w:bookmarkStart w:id="251" w:name="_Toc383700072"/>
            <w:r w:rsidRPr="00BA6536">
              <w:rPr>
                <w:rFonts w:asciiTheme="minorHAnsi" w:hAnsiTheme="minorHAnsi"/>
                <w:b w:val="0"/>
                <w:bCs w:val="0"/>
                <w:sz w:val="22"/>
                <w:szCs w:val="22"/>
              </w:rPr>
              <w:t>200</w:t>
            </w:r>
            <w:bookmarkEnd w:id="251"/>
          </w:p>
        </w:tc>
        <w:tc>
          <w:tcPr>
            <w:tcW w:w="1620" w:type="dxa"/>
            <w:tcBorders>
              <w:top w:val="single" w:sz="4" w:space="0" w:color="auto"/>
              <w:left w:val="single" w:sz="4" w:space="0" w:color="auto"/>
              <w:bottom w:val="single" w:sz="4" w:space="0" w:color="auto"/>
              <w:right w:val="single" w:sz="4" w:space="0" w:color="auto"/>
            </w:tcBorders>
          </w:tcPr>
          <w:p w14:paraId="0F43BDC1"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52" w:name="_Toc383700073"/>
            <w:r w:rsidRPr="00BA6536">
              <w:rPr>
                <w:rFonts w:asciiTheme="minorHAnsi" w:hAnsiTheme="minorHAnsi"/>
                <w:b w:val="0"/>
                <w:bCs w:val="0"/>
                <w:sz w:val="22"/>
                <w:szCs w:val="22"/>
              </w:rPr>
              <w:t>$99/hr</w:t>
            </w:r>
            <w:bookmarkEnd w:id="252"/>
          </w:p>
        </w:tc>
      </w:tr>
      <w:tr w:rsidR="00D2305E" w:rsidRPr="00BA6536" w14:paraId="296B4C64" w14:textId="77777777" w:rsidTr="002B4CDA">
        <w:tc>
          <w:tcPr>
            <w:tcW w:w="3960" w:type="dxa"/>
            <w:tcBorders>
              <w:top w:val="single" w:sz="4" w:space="0" w:color="auto"/>
              <w:left w:val="single" w:sz="4" w:space="0" w:color="auto"/>
              <w:bottom w:val="single" w:sz="4" w:space="0" w:color="auto"/>
              <w:right w:val="single" w:sz="4" w:space="0" w:color="auto"/>
            </w:tcBorders>
          </w:tcPr>
          <w:p w14:paraId="2A4F469D"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53" w:name="_Toc383700074"/>
            <w:r w:rsidRPr="00BA6536">
              <w:rPr>
                <w:rFonts w:asciiTheme="minorHAnsi" w:hAnsiTheme="minorHAnsi"/>
                <w:b w:val="0"/>
                <w:bCs w:val="0"/>
                <w:sz w:val="22"/>
                <w:szCs w:val="22"/>
              </w:rPr>
              <w:t>General Plan Amendment</w:t>
            </w:r>
            <w:bookmarkEnd w:id="253"/>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14:paraId="3E54B998"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54" w:name="_Toc383700075"/>
            <w:r w:rsidRPr="00BA6536">
              <w:rPr>
                <w:rFonts w:asciiTheme="minorHAnsi" w:hAnsiTheme="minorHAnsi"/>
                <w:b w:val="0"/>
                <w:bCs w:val="0"/>
                <w:sz w:val="22"/>
                <w:szCs w:val="22"/>
              </w:rPr>
              <w:t>$495</w:t>
            </w:r>
            <w:bookmarkEnd w:id="254"/>
          </w:p>
        </w:tc>
        <w:tc>
          <w:tcPr>
            <w:tcW w:w="1890" w:type="dxa"/>
            <w:tcBorders>
              <w:top w:val="single" w:sz="4" w:space="0" w:color="auto"/>
              <w:left w:val="single" w:sz="4" w:space="0" w:color="auto"/>
              <w:bottom w:val="single" w:sz="4" w:space="0" w:color="auto"/>
              <w:right w:val="single" w:sz="4" w:space="0" w:color="auto"/>
            </w:tcBorders>
          </w:tcPr>
          <w:p w14:paraId="5360DDC6"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55" w:name="_Toc383700076"/>
            <w:r w:rsidRPr="00BA6536">
              <w:rPr>
                <w:rFonts w:asciiTheme="minorHAnsi" w:hAnsiTheme="minorHAnsi"/>
                <w:b w:val="0"/>
                <w:bCs w:val="0"/>
                <w:sz w:val="22"/>
                <w:szCs w:val="22"/>
              </w:rPr>
              <w:t>30</w:t>
            </w:r>
            <w:bookmarkEnd w:id="255"/>
          </w:p>
        </w:tc>
        <w:tc>
          <w:tcPr>
            <w:tcW w:w="1620" w:type="dxa"/>
            <w:tcBorders>
              <w:top w:val="single" w:sz="4" w:space="0" w:color="auto"/>
              <w:left w:val="single" w:sz="4" w:space="0" w:color="auto"/>
              <w:bottom w:val="single" w:sz="4" w:space="0" w:color="auto"/>
              <w:right w:val="single" w:sz="4" w:space="0" w:color="auto"/>
            </w:tcBorders>
          </w:tcPr>
          <w:p w14:paraId="4628E1CD"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56" w:name="_Toc383700077"/>
            <w:r w:rsidRPr="00BA6536">
              <w:rPr>
                <w:rFonts w:asciiTheme="minorHAnsi" w:hAnsiTheme="minorHAnsi"/>
                <w:b w:val="0"/>
                <w:bCs w:val="0"/>
                <w:sz w:val="22"/>
                <w:szCs w:val="22"/>
              </w:rPr>
              <w:t>$99/hr</w:t>
            </w:r>
            <w:bookmarkEnd w:id="256"/>
          </w:p>
        </w:tc>
      </w:tr>
      <w:tr w:rsidR="00D2305E" w:rsidRPr="00BA6536" w14:paraId="34BEF0B8" w14:textId="77777777" w:rsidTr="002B4CDA">
        <w:tc>
          <w:tcPr>
            <w:tcW w:w="3960" w:type="dxa"/>
            <w:tcBorders>
              <w:top w:val="single" w:sz="4" w:space="0" w:color="auto"/>
              <w:left w:val="single" w:sz="4" w:space="0" w:color="auto"/>
              <w:bottom w:val="single" w:sz="4" w:space="0" w:color="auto"/>
              <w:right w:val="single" w:sz="4" w:space="0" w:color="auto"/>
            </w:tcBorders>
          </w:tcPr>
          <w:p w14:paraId="145E66C8"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57" w:name="_Toc383700078"/>
            <w:r w:rsidRPr="00BA6536">
              <w:rPr>
                <w:rFonts w:asciiTheme="minorHAnsi" w:hAnsiTheme="minorHAnsi"/>
                <w:b w:val="0"/>
                <w:bCs w:val="0"/>
                <w:sz w:val="22"/>
                <w:szCs w:val="22"/>
              </w:rPr>
              <w:t>Groundwater Transfer/Extraction</w:t>
            </w:r>
            <w:bookmarkEnd w:id="257"/>
          </w:p>
        </w:tc>
        <w:tc>
          <w:tcPr>
            <w:tcW w:w="1170" w:type="dxa"/>
            <w:tcBorders>
              <w:top w:val="single" w:sz="4" w:space="0" w:color="auto"/>
              <w:left w:val="single" w:sz="4" w:space="0" w:color="auto"/>
              <w:bottom w:val="single" w:sz="4" w:space="0" w:color="auto"/>
              <w:right w:val="single" w:sz="4" w:space="0" w:color="auto"/>
            </w:tcBorders>
          </w:tcPr>
          <w:p w14:paraId="0499C0F4"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58" w:name="_Toc383700079"/>
            <w:r w:rsidRPr="00BA6536">
              <w:rPr>
                <w:rFonts w:asciiTheme="minorHAnsi" w:hAnsiTheme="minorHAnsi"/>
                <w:b w:val="0"/>
                <w:bCs w:val="0"/>
                <w:sz w:val="22"/>
                <w:szCs w:val="22"/>
              </w:rPr>
              <w:t>$495</w:t>
            </w:r>
            <w:bookmarkEnd w:id="258"/>
          </w:p>
        </w:tc>
        <w:tc>
          <w:tcPr>
            <w:tcW w:w="1890" w:type="dxa"/>
            <w:tcBorders>
              <w:top w:val="single" w:sz="4" w:space="0" w:color="auto"/>
              <w:left w:val="single" w:sz="4" w:space="0" w:color="auto"/>
              <w:bottom w:val="single" w:sz="4" w:space="0" w:color="auto"/>
              <w:right w:val="single" w:sz="4" w:space="0" w:color="auto"/>
            </w:tcBorders>
          </w:tcPr>
          <w:p w14:paraId="198C1042"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59" w:name="_Toc383700080"/>
            <w:r w:rsidRPr="00BA6536">
              <w:rPr>
                <w:rFonts w:asciiTheme="minorHAnsi" w:hAnsiTheme="minorHAnsi"/>
                <w:b w:val="0"/>
                <w:bCs w:val="0"/>
                <w:sz w:val="22"/>
                <w:szCs w:val="22"/>
              </w:rPr>
              <w:t>18</w:t>
            </w:r>
            <w:bookmarkEnd w:id="259"/>
          </w:p>
        </w:tc>
        <w:tc>
          <w:tcPr>
            <w:tcW w:w="1620" w:type="dxa"/>
            <w:tcBorders>
              <w:top w:val="single" w:sz="4" w:space="0" w:color="auto"/>
              <w:left w:val="single" w:sz="4" w:space="0" w:color="auto"/>
              <w:bottom w:val="single" w:sz="4" w:space="0" w:color="auto"/>
              <w:right w:val="single" w:sz="4" w:space="0" w:color="auto"/>
            </w:tcBorders>
          </w:tcPr>
          <w:p w14:paraId="2D586F9F"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60" w:name="_Toc383700081"/>
            <w:r w:rsidRPr="00BA6536">
              <w:rPr>
                <w:rFonts w:asciiTheme="minorHAnsi" w:hAnsiTheme="minorHAnsi"/>
                <w:b w:val="0"/>
                <w:bCs w:val="0"/>
                <w:sz w:val="22"/>
                <w:szCs w:val="22"/>
              </w:rPr>
              <w:t>$99/hr</w:t>
            </w:r>
            <w:bookmarkEnd w:id="260"/>
          </w:p>
        </w:tc>
      </w:tr>
      <w:tr w:rsidR="00D2305E" w:rsidRPr="00BA6536" w14:paraId="049D336A" w14:textId="77777777" w:rsidTr="002B4CDA">
        <w:tc>
          <w:tcPr>
            <w:tcW w:w="3960" w:type="dxa"/>
            <w:tcBorders>
              <w:top w:val="single" w:sz="4" w:space="0" w:color="auto"/>
              <w:left w:val="single" w:sz="4" w:space="0" w:color="auto"/>
              <w:bottom w:val="single" w:sz="4" w:space="0" w:color="auto"/>
              <w:right w:val="single" w:sz="4" w:space="0" w:color="auto"/>
            </w:tcBorders>
          </w:tcPr>
          <w:p w14:paraId="1C258109"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61" w:name="_Toc383700082"/>
            <w:r w:rsidRPr="00BA6536">
              <w:rPr>
                <w:rFonts w:asciiTheme="minorHAnsi" w:hAnsiTheme="minorHAnsi"/>
                <w:b w:val="0"/>
                <w:bCs w:val="0"/>
                <w:sz w:val="22"/>
                <w:szCs w:val="22"/>
              </w:rPr>
              <w:t>Home Occupation, expanded</w:t>
            </w:r>
            <w:bookmarkEnd w:id="261"/>
          </w:p>
        </w:tc>
        <w:tc>
          <w:tcPr>
            <w:tcW w:w="1170" w:type="dxa"/>
            <w:tcBorders>
              <w:top w:val="single" w:sz="4" w:space="0" w:color="auto"/>
              <w:left w:val="single" w:sz="4" w:space="0" w:color="auto"/>
              <w:bottom w:val="single" w:sz="4" w:space="0" w:color="auto"/>
              <w:right w:val="single" w:sz="4" w:space="0" w:color="auto"/>
            </w:tcBorders>
          </w:tcPr>
          <w:p w14:paraId="65D406F7"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62" w:name="_Toc383700083"/>
            <w:r w:rsidRPr="00BA6536">
              <w:rPr>
                <w:rFonts w:asciiTheme="minorHAnsi" w:hAnsiTheme="minorHAnsi"/>
                <w:b w:val="0"/>
                <w:bCs w:val="0"/>
                <w:sz w:val="22"/>
                <w:szCs w:val="22"/>
              </w:rPr>
              <w:t>$495</w:t>
            </w:r>
            <w:bookmarkEnd w:id="262"/>
          </w:p>
        </w:tc>
        <w:tc>
          <w:tcPr>
            <w:tcW w:w="1890" w:type="dxa"/>
            <w:tcBorders>
              <w:top w:val="single" w:sz="4" w:space="0" w:color="auto"/>
              <w:left w:val="single" w:sz="4" w:space="0" w:color="auto"/>
              <w:bottom w:val="single" w:sz="4" w:space="0" w:color="auto"/>
              <w:right w:val="single" w:sz="4" w:space="0" w:color="auto"/>
            </w:tcBorders>
          </w:tcPr>
          <w:p w14:paraId="121C23A0"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63" w:name="_Toc383700084"/>
            <w:r w:rsidRPr="00BA6536">
              <w:rPr>
                <w:rFonts w:asciiTheme="minorHAnsi" w:hAnsiTheme="minorHAnsi"/>
                <w:b w:val="0"/>
                <w:bCs w:val="0"/>
                <w:sz w:val="22"/>
                <w:szCs w:val="22"/>
              </w:rPr>
              <w:t>25</w:t>
            </w:r>
            <w:bookmarkEnd w:id="263"/>
          </w:p>
        </w:tc>
        <w:tc>
          <w:tcPr>
            <w:tcW w:w="1620" w:type="dxa"/>
            <w:tcBorders>
              <w:top w:val="single" w:sz="4" w:space="0" w:color="auto"/>
              <w:left w:val="single" w:sz="4" w:space="0" w:color="auto"/>
              <w:bottom w:val="single" w:sz="4" w:space="0" w:color="auto"/>
              <w:right w:val="single" w:sz="4" w:space="0" w:color="auto"/>
            </w:tcBorders>
          </w:tcPr>
          <w:p w14:paraId="5C8F6832"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64" w:name="_Toc383700085"/>
            <w:r w:rsidRPr="00BA6536">
              <w:rPr>
                <w:rFonts w:asciiTheme="minorHAnsi" w:hAnsiTheme="minorHAnsi"/>
                <w:b w:val="0"/>
                <w:bCs w:val="0"/>
                <w:sz w:val="22"/>
                <w:szCs w:val="22"/>
              </w:rPr>
              <w:t>$99/hr</w:t>
            </w:r>
            <w:bookmarkEnd w:id="264"/>
          </w:p>
        </w:tc>
      </w:tr>
      <w:tr w:rsidR="00D2305E" w:rsidRPr="00BA6536" w14:paraId="4779E2A5" w14:textId="77777777" w:rsidTr="002B4CDA">
        <w:tc>
          <w:tcPr>
            <w:tcW w:w="3960" w:type="dxa"/>
            <w:tcBorders>
              <w:top w:val="single" w:sz="4" w:space="0" w:color="auto"/>
              <w:left w:val="single" w:sz="4" w:space="0" w:color="auto"/>
              <w:bottom w:val="single" w:sz="4" w:space="0" w:color="auto"/>
              <w:right w:val="single" w:sz="4" w:space="0" w:color="auto"/>
            </w:tcBorders>
          </w:tcPr>
          <w:p w14:paraId="1DCA168B"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65" w:name="_Toc383700086"/>
            <w:r w:rsidRPr="00BA6536">
              <w:rPr>
                <w:rFonts w:asciiTheme="minorHAnsi" w:hAnsiTheme="minorHAnsi"/>
                <w:b w:val="0"/>
                <w:bCs w:val="0"/>
                <w:sz w:val="22"/>
                <w:szCs w:val="22"/>
              </w:rPr>
              <w:t>Hydrological Studies</w:t>
            </w:r>
            <w:bookmarkEnd w:id="265"/>
          </w:p>
        </w:tc>
        <w:tc>
          <w:tcPr>
            <w:tcW w:w="1170" w:type="dxa"/>
            <w:tcBorders>
              <w:top w:val="single" w:sz="4" w:space="0" w:color="auto"/>
              <w:left w:val="single" w:sz="4" w:space="0" w:color="auto"/>
              <w:bottom w:val="single" w:sz="4" w:space="0" w:color="auto"/>
              <w:right w:val="single" w:sz="4" w:space="0" w:color="auto"/>
            </w:tcBorders>
          </w:tcPr>
          <w:p w14:paraId="6CCF8C57"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66" w:name="_Toc383700087"/>
            <w:r w:rsidRPr="00BA6536">
              <w:rPr>
                <w:rFonts w:asciiTheme="minorHAnsi" w:hAnsiTheme="minorHAnsi"/>
                <w:b w:val="0"/>
                <w:bCs w:val="0"/>
                <w:sz w:val="22"/>
                <w:szCs w:val="22"/>
              </w:rPr>
              <w:t>$495</w:t>
            </w:r>
            <w:bookmarkEnd w:id="266"/>
          </w:p>
        </w:tc>
        <w:tc>
          <w:tcPr>
            <w:tcW w:w="1890" w:type="dxa"/>
            <w:tcBorders>
              <w:top w:val="single" w:sz="4" w:space="0" w:color="auto"/>
              <w:left w:val="single" w:sz="4" w:space="0" w:color="auto"/>
              <w:bottom w:val="single" w:sz="4" w:space="0" w:color="auto"/>
              <w:right w:val="single" w:sz="4" w:space="0" w:color="auto"/>
            </w:tcBorders>
          </w:tcPr>
          <w:p w14:paraId="7147C822"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67" w:name="_Toc383700088"/>
            <w:r w:rsidRPr="00BA6536">
              <w:rPr>
                <w:rFonts w:asciiTheme="minorHAnsi" w:hAnsiTheme="minorHAnsi"/>
                <w:b w:val="0"/>
                <w:bCs w:val="0"/>
                <w:sz w:val="22"/>
                <w:szCs w:val="22"/>
              </w:rPr>
              <w:t>5</w:t>
            </w:r>
            <w:bookmarkEnd w:id="267"/>
          </w:p>
        </w:tc>
        <w:tc>
          <w:tcPr>
            <w:tcW w:w="1620" w:type="dxa"/>
            <w:tcBorders>
              <w:top w:val="single" w:sz="4" w:space="0" w:color="auto"/>
              <w:left w:val="single" w:sz="4" w:space="0" w:color="auto"/>
              <w:bottom w:val="single" w:sz="4" w:space="0" w:color="auto"/>
              <w:right w:val="single" w:sz="4" w:space="0" w:color="auto"/>
            </w:tcBorders>
          </w:tcPr>
          <w:p w14:paraId="69D5BB28"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68" w:name="_Toc383700089"/>
            <w:r w:rsidRPr="00BA6536">
              <w:rPr>
                <w:rFonts w:asciiTheme="minorHAnsi" w:hAnsiTheme="minorHAnsi"/>
                <w:b w:val="0"/>
                <w:bCs w:val="0"/>
                <w:sz w:val="22"/>
                <w:szCs w:val="22"/>
              </w:rPr>
              <w:t>$99/hr</w:t>
            </w:r>
            <w:bookmarkEnd w:id="268"/>
          </w:p>
        </w:tc>
      </w:tr>
      <w:tr w:rsidR="00D2305E" w:rsidRPr="00BA6536" w14:paraId="0A7C6DE7" w14:textId="77777777" w:rsidTr="002B4CDA">
        <w:tc>
          <w:tcPr>
            <w:tcW w:w="3960" w:type="dxa"/>
            <w:tcBorders>
              <w:top w:val="single" w:sz="4" w:space="0" w:color="auto"/>
              <w:left w:val="single" w:sz="4" w:space="0" w:color="auto"/>
              <w:bottom w:val="single" w:sz="4" w:space="0" w:color="auto"/>
              <w:right w:val="single" w:sz="4" w:space="0" w:color="auto"/>
            </w:tcBorders>
          </w:tcPr>
          <w:p w14:paraId="29F8AA1C"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69" w:name="_Toc383700090"/>
            <w:r w:rsidRPr="00BA6536">
              <w:rPr>
                <w:rFonts w:asciiTheme="minorHAnsi" w:hAnsiTheme="minorHAnsi"/>
                <w:b w:val="0"/>
                <w:bCs w:val="0"/>
                <w:sz w:val="22"/>
                <w:szCs w:val="22"/>
              </w:rPr>
              <w:t>Lot Line Adjustment</w:t>
            </w:r>
            <w:bookmarkEnd w:id="269"/>
          </w:p>
        </w:tc>
        <w:tc>
          <w:tcPr>
            <w:tcW w:w="1170" w:type="dxa"/>
            <w:tcBorders>
              <w:top w:val="single" w:sz="4" w:space="0" w:color="auto"/>
              <w:left w:val="single" w:sz="4" w:space="0" w:color="auto"/>
              <w:bottom w:val="single" w:sz="4" w:space="0" w:color="auto"/>
              <w:right w:val="single" w:sz="4" w:space="0" w:color="auto"/>
            </w:tcBorders>
          </w:tcPr>
          <w:p w14:paraId="43A2C9AA"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70" w:name="_Toc383700091"/>
            <w:r w:rsidRPr="00BA6536">
              <w:rPr>
                <w:rFonts w:asciiTheme="minorHAnsi" w:hAnsiTheme="minorHAnsi"/>
                <w:b w:val="0"/>
                <w:bCs w:val="0"/>
                <w:sz w:val="22"/>
                <w:szCs w:val="22"/>
              </w:rPr>
              <w:t>$495</w:t>
            </w:r>
            <w:bookmarkEnd w:id="270"/>
          </w:p>
        </w:tc>
        <w:tc>
          <w:tcPr>
            <w:tcW w:w="1890" w:type="dxa"/>
            <w:tcBorders>
              <w:top w:val="single" w:sz="4" w:space="0" w:color="auto"/>
              <w:left w:val="single" w:sz="4" w:space="0" w:color="auto"/>
              <w:bottom w:val="single" w:sz="4" w:space="0" w:color="auto"/>
              <w:right w:val="single" w:sz="4" w:space="0" w:color="auto"/>
            </w:tcBorders>
          </w:tcPr>
          <w:p w14:paraId="571F6243"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1" w:name="_Toc383700092"/>
            <w:r w:rsidRPr="00BA6536">
              <w:rPr>
                <w:rFonts w:asciiTheme="minorHAnsi" w:hAnsiTheme="minorHAnsi"/>
                <w:b w:val="0"/>
                <w:bCs w:val="0"/>
                <w:sz w:val="22"/>
                <w:szCs w:val="22"/>
              </w:rPr>
              <w:t>10</w:t>
            </w:r>
            <w:bookmarkEnd w:id="271"/>
          </w:p>
        </w:tc>
        <w:tc>
          <w:tcPr>
            <w:tcW w:w="1620" w:type="dxa"/>
            <w:tcBorders>
              <w:top w:val="single" w:sz="4" w:space="0" w:color="auto"/>
              <w:left w:val="single" w:sz="4" w:space="0" w:color="auto"/>
              <w:bottom w:val="single" w:sz="4" w:space="0" w:color="auto"/>
              <w:right w:val="single" w:sz="4" w:space="0" w:color="auto"/>
            </w:tcBorders>
          </w:tcPr>
          <w:p w14:paraId="6A098692"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2" w:name="_Toc383700093"/>
            <w:r w:rsidRPr="00BA6536">
              <w:rPr>
                <w:rFonts w:asciiTheme="minorHAnsi" w:hAnsiTheme="minorHAnsi"/>
                <w:b w:val="0"/>
                <w:bCs w:val="0"/>
                <w:sz w:val="22"/>
                <w:szCs w:val="22"/>
              </w:rPr>
              <w:t>$99/hr</w:t>
            </w:r>
            <w:bookmarkEnd w:id="272"/>
          </w:p>
        </w:tc>
      </w:tr>
      <w:tr w:rsidR="00D2305E" w:rsidRPr="00BA6536" w14:paraId="4C42ABE8" w14:textId="77777777" w:rsidTr="002B4CDA">
        <w:tc>
          <w:tcPr>
            <w:tcW w:w="3960" w:type="dxa"/>
            <w:tcBorders>
              <w:top w:val="single" w:sz="4" w:space="0" w:color="auto"/>
              <w:left w:val="single" w:sz="4" w:space="0" w:color="auto"/>
              <w:bottom w:val="single" w:sz="4" w:space="0" w:color="auto"/>
              <w:right w:val="single" w:sz="4" w:space="0" w:color="auto"/>
            </w:tcBorders>
          </w:tcPr>
          <w:p w14:paraId="6290E8BE"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73" w:name="_Toc383700094"/>
            <w:r w:rsidRPr="00BA6536">
              <w:rPr>
                <w:rFonts w:asciiTheme="minorHAnsi" w:hAnsiTheme="minorHAnsi"/>
                <w:b w:val="0"/>
                <w:bCs w:val="0"/>
                <w:sz w:val="22"/>
                <w:szCs w:val="22"/>
              </w:rPr>
              <w:t>Lot Merger</w:t>
            </w:r>
            <w:bookmarkEnd w:id="273"/>
          </w:p>
        </w:tc>
        <w:tc>
          <w:tcPr>
            <w:tcW w:w="1170" w:type="dxa"/>
            <w:tcBorders>
              <w:top w:val="single" w:sz="4" w:space="0" w:color="auto"/>
              <w:left w:val="single" w:sz="4" w:space="0" w:color="auto"/>
              <w:bottom w:val="single" w:sz="4" w:space="0" w:color="auto"/>
              <w:right w:val="single" w:sz="4" w:space="0" w:color="auto"/>
            </w:tcBorders>
          </w:tcPr>
          <w:p w14:paraId="6C3DB935"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74" w:name="_Toc383700095"/>
            <w:r w:rsidRPr="00BA6536">
              <w:rPr>
                <w:rFonts w:asciiTheme="minorHAnsi" w:hAnsiTheme="minorHAnsi"/>
                <w:b w:val="0"/>
                <w:bCs w:val="0"/>
                <w:sz w:val="22"/>
                <w:szCs w:val="22"/>
              </w:rPr>
              <w:t>$495</w:t>
            </w:r>
            <w:bookmarkEnd w:id="274"/>
          </w:p>
        </w:tc>
        <w:tc>
          <w:tcPr>
            <w:tcW w:w="1890" w:type="dxa"/>
            <w:tcBorders>
              <w:top w:val="single" w:sz="4" w:space="0" w:color="auto"/>
              <w:left w:val="single" w:sz="4" w:space="0" w:color="auto"/>
              <w:bottom w:val="single" w:sz="4" w:space="0" w:color="auto"/>
              <w:right w:val="single" w:sz="4" w:space="0" w:color="auto"/>
            </w:tcBorders>
          </w:tcPr>
          <w:p w14:paraId="16F70D95"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5" w:name="_Toc383700096"/>
            <w:r w:rsidRPr="00BA6536">
              <w:rPr>
                <w:rFonts w:asciiTheme="minorHAnsi" w:hAnsiTheme="minorHAnsi"/>
                <w:b w:val="0"/>
                <w:bCs w:val="0"/>
                <w:sz w:val="22"/>
                <w:szCs w:val="22"/>
              </w:rPr>
              <w:t>8</w:t>
            </w:r>
            <w:bookmarkEnd w:id="275"/>
          </w:p>
        </w:tc>
        <w:tc>
          <w:tcPr>
            <w:tcW w:w="1620" w:type="dxa"/>
            <w:tcBorders>
              <w:top w:val="single" w:sz="4" w:space="0" w:color="auto"/>
              <w:left w:val="single" w:sz="4" w:space="0" w:color="auto"/>
              <w:bottom w:val="single" w:sz="4" w:space="0" w:color="auto"/>
              <w:right w:val="single" w:sz="4" w:space="0" w:color="auto"/>
            </w:tcBorders>
          </w:tcPr>
          <w:p w14:paraId="1ED0D330"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6" w:name="_Toc383700097"/>
            <w:r w:rsidRPr="00BA6536">
              <w:rPr>
                <w:rFonts w:asciiTheme="minorHAnsi" w:hAnsiTheme="minorHAnsi"/>
                <w:b w:val="0"/>
                <w:bCs w:val="0"/>
                <w:sz w:val="22"/>
                <w:szCs w:val="22"/>
              </w:rPr>
              <w:t>$99/hr</w:t>
            </w:r>
            <w:bookmarkEnd w:id="276"/>
          </w:p>
        </w:tc>
      </w:tr>
      <w:tr w:rsidR="00D2305E" w:rsidRPr="00BA6536" w14:paraId="1B54EDB1" w14:textId="77777777" w:rsidTr="002B4CDA">
        <w:tc>
          <w:tcPr>
            <w:tcW w:w="3960" w:type="dxa"/>
            <w:tcBorders>
              <w:top w:val="single" w:sz="4" w:space="0" w:color="auto"/>
              <w:left w:val="single" w:sz="4" w:space="0" w:color="auto"/>
              <w:bottom w:val="single" w:sz="4" w:space="0" w:color="auto"/>
              <w:right w:val="single" w:sz="4" w:space="0" w:color="auto"/>
            </w:tcBorders>
          </w:tcPr>
          <w:p w14:paraId="34C9CA75"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77" w:name="_Toc383700098"/>
            <w:r w:rsidRPr="00BA6536">
              <w:rPr>
                <w:rFonts w:asciiTheme="minorHAnsi" w:hAnsiTheme="minorHAnsi"/>
                <w:b w:val="0"/>
                <w:bCs w:val="0"/>
                <w:sz w:val="22"/>
                <w:szCs w:val="22"/>
              </w:rPr>
              <w:t>Map Extension</w:t>
            </w:r>
            <w:bookmarkEnd w:id="277"/>
          </w:p>
        </w:tc>
        <w:tc>
          <w:tcPr>
            <w:tcW w:w="1170" w:type="dxa"/>
            <w:tcBorders>
              <w:top w:val="single" w:sz="4" w:space="0" w:color="auto"/>
              <w:left w:val="single" w:sz="4" w:space="0" w:color="auto"/>
              <w:bottom w:val="single" w:sz="4" w:space="0" w:color="auto"/>
              <w:right w:val="single" w:sz="4" w:space="0" w:color="auto"/>
            </w:tcBorders>
          </w:tcPr>
          <w:p w14:paraId="3C68C8EA"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78" w:name="_Toc383700099"/>
            <w:r w:rsidRPr="00BA6536">
              <w:rPr>
                <w:rFonts w:asciiTheme="minorHAnsi" w:hAnsiTheme="minorHAnsi"/>
                <w:b w:val="0"/>
                <w:bCs w:val="0"/>
                <w:sz w:val="22"/>
                <w:szCs w:val="22"/>
              </w:rPr>
              <w:t>$495</w:t>
            </w:r>
            <w:bookmarkEnd w:id="278"/>
          </w:p>
        </w:tc>
        <w:tc>
          <w:tcPr>
            <w:tcW w:w="1890" w:type="dxa"/>
            <w:tcBorders>
              <w:top w:val="single" w:sz="4" w:space="0" w:color="auto"/>
              <w:left w:val="single" w:sz="4" w:space="0" w:color="auto"/>
              <w:bottom w:val="single" w:sz="4" w:space="0" w:color="auto"/>
              <w:right w:val="single" w:sz="4" w:space="0" w:color="auto"/>
            </w:tcBorders>
          </w:tcPr>
          <w:p w14:paraId="1AF08DC1"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79" w:name="_Toc383700100"/>
            <w:r w:rsidRPr="00BA6536">
              <w:rPr>
                <w:rFonts w:asciiTheme="minorHAnsi" w:hAnsiTheme="minorHAnsi"/>
                <w:b w:val="0"/>
                <w:bCs w:val="0"/>
                <w:sz w:val="22"/>
                <w:szCs w:val="22"/>
              </w:rPr>
              <w:t>10</w:t>
            </w:r>
            <w:bookmarkEnd w:id="279"/>
          </w:p>
        </w:tc>
        <w:tc>
          <w:tcPr>
            <w:tcW w:w="1620" w:type="dxa"/>
            <w:tcBorders>
              <w:top w:val="single" w:sz="4" w:space="0" w:color="auto"/>
              <w:left w:val="single" w:sz="4" w:space="0" w:color="auto"/>
              <w:bottom w:val="single" w:sz="4" w:space="0" w:color="auto"/>
              <w:right w:val="single" w:sz="4" w:space="0" w:color="auto"/>
            </w:tcBorders>
          </w:tcPr>
          <w:p w14:paraId="197AE94D"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80" w:name="_Toc383700101"/>
            <w:r w:rsidRPr="00BA6536">
              <w:rPr>
                <w:rFonts w:asciiTheme="minorHAnsi" w:hAnsiTheme="minorHAnsi"/>
                <w:b w:val="0"/>
                <w:bCs w:val="0"/>
                <w:sz w:val="22"/>
                <w:szCs w:val="22"/>
              </w:rPr>
              <w:t>$99/hr</w:t>
            </w:r>
            <w:bookmarkEnd w:id="280"/>
          </w:p>
        </w:tc>
      </w:tr>
      <w:tr w:rsidR="00D2305E" w:rsidRPr="00BA6536" w14:paraId="0A534170" w14:textId="77777777" w:rsidTr="002B4CDA">
        <w:tc>
          <w:tcPr>
            <w:tcW w:w="3960" w:type="dxa"/>
            <w:tcBorders>
              <w:top w:val="single" w:sz="4" w:space="0" w:color="auto"/>
              <w:left w:val="single" w:sz="4" w:space="0" w:color="auto"/>
              <w:bottom w:val="single" w:sz="4" w:space="0" w:color="auto"/>
              <w:right w:val="single" w:sz="4" w:space="0" w:color="auto"/>
            </w:tcBorders>
          </w:tcPr>
          <w:p w14:paraId="242F540D"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81" w:name="_Toc383700102"/>
            <w:r w:rsidRPr="00BA6536">
              <w:rPr>
                <w:rFonts w:asciiTheme="minorHAnsi" w:hAnsiTheme="minorHAnsi"/>
                <w:b w:val="0"/>
                <w:bCs w:val="0"/>
                <w:sz w:val="22"/>
                <w:szCs w:val="22"/>
              </w:rPr>
              <w:t>Mining Operations Permit</w:t>
            </w:r>
            <w:bookmarkEnd w:id="281"/>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14:paraId="46B84BC4"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82" w:name="_Toc383700103"/>
            <w:r w:rsidRPr="00BA6536">
              <w:rPr>
                <w:rFonts w:asciiTheme="minorHAnsi" w:hAnsiTheme="minorHAnsi"/>
                <w:b w:val="0"/>
                <w:bCs w:val="0"/>
                <w:sz w:val="22"/>
                <w:szCs w:val="22"/>
              </w:rPr>
              <w:t>$495</w:t>
            </w:r>
            <w:bookmarkEnd w:id="282"/>
          </w:p>
        </w:tc>
        <w:tc>
          <w:tcPr>
            <w:tcW w:w="1890" w:type="dxa"/>
            <w:tcBorders>
              <w:top w:val="single" w:sz="4" w:space="0" w:color="auto"/>
              <w:left w:val="single" w:sz="4" w:space="0" w:color="auto"/>
              <w:bottom w:val="single" w:sz="4" w:space="0" w:color="auto"/>
              <w:right w:val="single" w:sz="4" w:space="0" w:color="auto"/>
            </w:tcBorders>
          </w:tcPr>
          <w:p w14:paraId="273F7E43"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83" w:name="_Toc383700104"/>
            <w:r w:rsidRPr="00BA6536">
              <w:rPr>
                <w:rFonts w:asciiTheme="minorHAnsi" w:hAnsiTheme="minorHAnsi"/>
                <w:b w:val="0"/>
                <w:bCs w:val="0"/>
                <w:sz w:val="22"/>
                <w:szCs w:val="22"/>
              </w:rPr>
              <w:t>30</w:t>
            </w:r>
            <w:bookmarkEnd w:id="283"/>
          </w:p>
        </w:tc>
        <w:tc>
          <w:tcPr>
            <w:tcW w:w="1620" w:type="dxa"/>
            <w:tcBorders>
              <w:top w:val="single" w:sz="4" w:space="0" w:color="auto"/>
              <w:left w:val="single" w:sz="4" w:space="0" w:color="auto"/>
              <w:bottom w:val="single" w:sz="4" w:space="0" w:color="auto"/>
              <w:right w:val="single" w:sz="4" w:space="0" w:color="auto"/>
            </w:tcBorders>
          </w:tcPr>
          <w:p w14:paraId="49DBA4EF"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84" w:name="_Toc383700105"/>
            <w:r w:rsidRPr="00BA6536">
              <w:rPr>
                <w:rFonts w:asciiTheme="minorHAnsi" w:hAnsiTheme="minorHAnsi"/>
                <w:b w:val="0"/>
                <w:bCs w:val="0"/>
                <w:sz w:val="22"/>
                <w:szCs w:val="22"/>
              </w:rPr>
              <w:t>$99/hr</w:t>
            </w:r>
            <w:bookmarkEnd w:id="284"/>
          </w:p>
        </w:tc>
      </w:tr>
      <w:tr w:rsidR="00D2305E" w:rsidRPr="00BA6536" w14:paraId="46C57BED" w14:textId="77777777" w:rsidTr="002B4CDA">
        <w:tc>
          <w:tcPr>
            <w:tcW w:w="3960" w:type="dxa"/>
            <w:tcBorders>
              <w:top w:val="single" w:sz="4" w:space="0" w:color="auto"/>
              <w:left w:val="single" w:sz="4" w:space="0" w:color="auto"/>
              <w:bottom w:val="single" w:sz="4" w:space="0" w:color="auto"/>
              <w:right w:val="single" w:sz="4" w:space="0" w:color="auto"/>
            </w:tcBorders>
          </w:tcPr>
          <w:p w14:paraId="37022CA5"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85" w:name="_Toc383700106"/>
            <w:r w:rsidRPr="00BA6536">
              <w:rPr>
                <w:rFonts w:asciiTheme="minorHAnsi" w:hAnsiTheme="minorHAnsi"/>
                <w:b w:val="0"/>
                <w:bCs w:val="0"/>
                <w:sz w:val="22"/>
                <w:szCs w:val="22"/>
              </w:rPr>
              <w:t>Negative Declaration</w:t>
            </w:r>
            <w:bookmarkEnd w:id="285"/>
          </w:p>
        </w:tc>
        <w:tc>
          <w:tcPr>
            <w:tcW w:w="1170" w:type="dxa"/>
            <w:tcBorders>
              <w:top w:val="single" w:sz="4" w:space="0" w:color="auto"/>
              <w:left w:val="single" w:sz="4" w:space="0" w:color="auto"/>
              <w:bottom w:val="single" w:sz="4" w:space="0" w:color="auto"/>
              <w:right w:val="single" w:sz="4" w:space="0" w:color="auto"/>
            </w:tcBorders>
          </w:tcPr>
          <w:p w14:paraId="6977904D"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86" w:name="_Toc383700107"/>
            <w:r w:rsidRPr="00BA6536">
              <w:rPr>
                <w:rFonts w:asciiTheme="minorHAnsi" w:hAnsiTheme="minorHAnsi"/>
                <w:b w:val="0"/>
                <w:bCs w:val="0"/>
                <w:sz w:val="22"/>
                <w:szCs w:val="22"/>
              </w:rPr>
              <w:t>$495</w:t>
            </w:r>
            <w:bookmarkEnd w:id="286"/>
          </w:p>
        </w:tc>
        <w:tc>
          <w:tcPr>
            <w:tcW w:w="1890" w:type="dxa"/>
            <w:tcBorders>
              <w:top w:val="single" w:sz="4" w:space="0" w:color="auto"/>
              <w:left w:val="single" w:sz="4" w:space="0" w:color="auto"/>
              <w:bottom w:val="single" w:sz="4" w:space="0" w:color="auto"/>
              <w:right w:val="single" w:sz="4" w:space="0" w:color="auto"/>
            </w:tcBorders>
          </w:tcPr>
          <w:p w14:paraId="2AE7DC6D"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87" w:name="_Toc383700108"/>
            <w:r w:rsidRPr="00BA6536">
              <w:rPr>
                <w:rFonts w:asciiTheme="minorHAnsi" w:hAnsiTheme="minorHAnsi"/>
                <w:b w:val="0"/>
                <w:bCs w:val="0"/>
                <w:sz w:val="22"/>
                <w:szCs w:val="22"/>
              </w:rPr>
              <w:t>75</w:t>
            </w:r>
            <w:bookmarkEnd w:id="287"/>
          </w:p>
        </w:tc>
        <w:tc>
          <w:tcPr>
            <w:tcW w:w="1620" w:type="dxa"/>
            <w:tcBorders>
              <w:top w:val="single" w:sz="4" w:space="0" w:color="auto"/>
              <w:left w:val="single" w:sz="4" w:space="0" w:color="auto"/>
              <w:bottom w:val="single" w:sz="4" w:space="0" w:color="auto"/>
              <w:right w:val="single" w:sz="4" w:space="0" w:color="auto"/>
            </w:tcBorders>
          </w:tcPr>
          <w:p w14:paraId="1BFFFE24"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88" w:name="_Toc383700109"/>
            <w:r w:rsidRPr="00BA6536">
              <w:rPr>
                <w:rFonts w:asciiTheme="minorHAnsi" w:hAnsiTheme="minorHAnsi"/>
                <w:b w:val="0"/>
                <w:bCs w:val="0"/>
                <w:sz w:val="22"/>
                <w:szCs w:val="22"/>
              </w:rPr>
              <w:t>$99/hr</w:t>
            </w:r>
            <w:bookmarkEnd w:id="288"/>
          </w:p>
        </w:tc>
      </w:tr>
      <w:tr w:rsidR="00D2305E" w:rsidRPr="00BA6536" w14:paraId="029F39CB" w14:textId="77777777" w:rsidTr="002B4CDA">
        <w:tc>
          <w:tcPr>
            <w:tcW w:w="3960" w:type="dxa"/>
            <w:tcBorders>
              <w:top w:val="single" w:sz="4" w:space="0" w:color="auto"/>
              <w:left w:val="single" w:sz="4" w:space="0" w:color="auto"/>
              <w:bottom w:val="single" w:sz="4" w:space="0" w:color="auto"/>
              <w:right w:val="single" w:sz="4" w:space="0" w:color="auto"/>
            </w:tcBorders>
          </w:tcPr>
          <w:p w14:paraId="21300C90"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89" w:name="_Toc383700110"/>
            <w:r w:rsidRPr="00BA6536">
              <w:rPr>
                <w:rFonts w:asciiTheme="minorHAnsi" w:hAnsiTheme="minorHAnsi"/>
                <w:b w:val="0"/>
                <w:bCs w:val="0"/>
                <w:sz w:val="22"/>
                <w:szCs w:val="22"/>
              </w:rPr>
              <w:t>Prior Environmental (15183**)</w:t>
            </w:r>
            <w:bookmarkEnd w:id="289"/>
          </w:p>
        </w:tc>
        <w:tc>
          <w:tcPr>
            <w:tcW w:w="1170" w:type="dxa"/>
            <w:tcBorders>
              <w:top w:val="single" w:sz="4" w:space="0" w:color="auto"/>
              <w:left w:val="single" w:sz="4" w:space="0" w:color="auto"/>
              <w:bottom w:val="single" w:sz="4" w:space="0" w:color="auto"/>
              <w:right w:val="single" w:sz="4" w:space="0" w:color="auto"/>
            </w:tcBorders>
          </w:tcPr>
          <w:p w14:paraId="4B5EC581"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90" w:name="_Toc383700111"/>
            <w:r w:rsidRPr="00BA6536">
              <w:rPr>
                <w:rFonts w:asciiTheme="minorHAnsi" w:hAnsiTheme="minorHAnsi"/>
                <w:b w:val="0"/>
                <w:bCs w:val="0"/>
                <w:sz w:val="22"/>
                <w:szCs w:val="22"/>
              </w:rPr>
              <w:t>$495</w:t>
            </w:r>
            <w:bookmarkEnd w:id="290"/>
          </w:p>
        </w:tc>
        <w:tc>
          <w:tcPr>
            <w:tcW w:w="1890" w:type="dxa"/>
            <w:tcBorders>
              <w:top w:val="single" w:sz="4" w:space="0" w:color="auto"/>
              <w:left w:val="single" w:sz="4" w:space="0" w:color="auto"/>
              <w:bottom w:val="single" w:sz="4" w:space="0" w:color="auto"/>
              <w:right w:val="single" w:sz="4" w:space="0" w:color="auto"/>
            </w:tcBorders>
          </w:tcPr>
          <w:p w14:paraId="0DCBD3DD"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91" w:name="_Toc383700112"/>
            <w:r w:rsidRPr="00BA6536">
              <w:rPr>
                <w:rFonts w:asciiTheme="minorHAnsi" w:hAnsiTheme="minorHAnsi"/>
                <w:b w:val="0"/>
                <w:bCs w:val="0"/>
                <w:sz w:val="22"/>
                <w:szCs w:val="22"/>
              </w:rPr>
              <w:t>20</w:t>
            </w:r>
            <w:bookmarkEnd w:id="291"/>
          </w:p>
        </w:tc>
        <w:tc>
          <w:tcPr>
            <w:tcW w:w="1620" w:type="dxa"/>
            <w:tcBorders>
              <w:top w:val="single" w:sz="4" w:space="0" w:color="auto"/>
              <w:left w:val="single" w:sz="4" w:space="0" w:color="auto"/>
              <w:bottom w:val="single" w:sz="4" w:space="0" w:color="auto"/>
              <w:right w:val="single" w:sz="4" w:space="0" w:color="auto"/>
            </w:tcBorders>
          </w:tcPr>
          <w:p w14:paraId="5F8B6B46"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92" w:name="_Toc383700113"/>
            <w:r w:rsidRPr="00BA6536">
              <w:rPr>
                <w:rFonts w:asciiTheme="minorHAnsi" w:hAnsiTheme="minorHAnsi"/>
                <w:b w:val="0"/>
                <w:bCs w:val="0"/>
                <w:sz w:val="22"/>
                <w:szCs w:val="22"/>
              </w:rPr>
              <w:t>$99/hr</w:t>
            </w:r>
            <w:bookmarkEnd w:id="292"/>
          </w:p>
        </w:tc>
      </w:tr>
      <w:tr w:rsidR="00D2305E" w:rsidRPr="00BA6536" w14:paraId="1308C622" w14:textId="77777777" w:rsidTr="002B4CDA">
        <w:tc>
          <w:tcPr>
            <w:tcW w:w="3960" w:type="dxa"/>
            <w:tcBorders>
              <w:top w:val="single" w:sz="4" w:space="0" w:color="auto"/>
              <w:left w:val="single" w:sz="4" w:space="0" w:color="auto"/>
              <w:bottom w:val="single" w:sz="4" w:space="0" w:color="auto"/>
              <w:right w:val="single" w:sz="4" w:space="0" w:color="auto"/>
            </w:tcBorders>
          </w:tcPr>
          <w:p w14:paraId="3178E0A9"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93" w:name="_Toc383700114"/>
            <w:r w:rsidRPr="00BA6536">
              <w:rPr>
                <w:rFonts w:asciiTheme="minorHAnsi" w:hAnsiTheme="minorHAnsi"/>
                <w:b w:val="0"/>
                <w:bCs w:val="0"/>
                <w:sz w:val="22"/>
                <w:szCs w:val="22"/>
              </w:rPr>
              <w:t>Parcel Map: Tentative</w:t>
            </w:r>
            <w:bookmarkEnd w:id="293"/>
          </w:p>
          <w:p w14:paraId="054F8AEB"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94" w:name="_Toc383700115"/>
            <w:r w:rsidRPr="00BA6536">
              <w:rPr>
                <w:rFonts w:asciiTheme="minorHAnsi" w:hAnsiTheme="minorHAnsi"/>
                <w:b w:val="0"/>
                <w:bCs w:val="0"/>
                <w:sz w:val="22"/>
                <w:szCs w:val="22"/>
              </w:rPr>
              <w:t>Modification</w:t>
            </w:r>
            <w:bookmarkEnd w:id="294"/>
          </w:p>
        </w:tc>
        <w:tc>
          <w:tcPr>
            <w:tcW w:w="1170" w:type="dxa"/>
            <w:tcBorders>
              <w:top w:val="single" w:sz="4" w:space="0" w:color="auto"/>
              <w:left w:val="single" w:sz="4" w:space="0" w:color="auto"/>
              <w:bottom w:val="single" w:sz="4" w:space="0" w:color="auto"/>
              <w:right w:val="single" w:sz="4" w:space="0" w:color="auto"/>
            </w:tcBorders>
          </w:tcPr>
          <w:p w14:paraId="5791037B" w14:textId="77777777" w:rsidR="00D2305E" w:rsidRPr="00BA6536" w:rsidRDefault="00D2305E" w:rsidP="00D2305E">
            <w:pPr>
              <w:pStyle w:val="Heading3"/>
              <w:tabs>
                <w:tab w:val="clear" w:pos="360"/>
                <w:tab w:val="left" w:pos="342"/>
              </w:tabs>
              <w:jc w:val="center"/>
              <w:rPr>
                <w:rFonts w:asciiTheme="minorHAnsi" w:hAnsiTheme="minorHAnsi"/>
                <w:b w:val="0"/>
                <w:bCs w:val="0"/>
                <w:sz w:val="22"/>
                <w:szCs w:val="22"/>
              </w:rPr>
            </w:pPr>
            <w:bookmarkStart w:id="295" w:name="_Toc383700116"/>
            <w:r w:rsidRPr="00BA6536">
              <w:rPr>
                <w:rFonts w:asciiTheme="minorHAnsi" w:hAnsiTheme="minorHAnsi"/>
                <w:b w:val="0"/>
                <w:bCs w:val="0"/>
                <w:sz w:val="22"/>
                <w:szCs w:val="22"/>
              </w:rPr>
              <w:t>$495</w:t>
            </w:r>
            <w:bookmarkEnd w:id="295"/>
          </w:p>
          <w:p w14:paraId="713F62AB" w14:textId="77777777" w:rsidR="00D2305E" w:rsidRPr="00BA6536" w:rsidRDefault="00D2305E" w:rsidP="00D2305E">
            <w:pPr>
              <w:pStyle w:val="Heading3"/>
              <w:jc w:val="center"/>
              <w:rPr>
                <w:rFonts w:asciiTheme="minorHAnsi" w:hAnsiTheme="minorHAnsi"/>
                <w:b w:val="0"/>
                <w:bCs w:val="0"/>
                <w:sz w:val="22"/>
                <w:szCs w:val="22"/>
              </w:rPr>
            </w:pPr>
            <w:bookmarkStart w:id="296" w:name="_Toc383700117"/>
            <w:r w:rsidRPr="00BA6536">
              <w:rPr>
                <w:rFonts w:asciiTheme="minorHAnsi" w:hAnsiTheme="minorHAnsi"/>
                <w:b w:val="0"/>
                <w:bCs w:val="0"/>
                <w:sz w:val="22"/>
                <w:szCs w:val="22"/>
              </w:rPr>
              <w:t>$495</w:t>
            </w:r>
            <w:bookmarkEnd w:id="296"/>
          </w:p>
        </w:tc>
        <w:tc>
          <w:tcPr>
            <w:tcW w:w="1890" w:type="dxa"/>
            <w:tcBorders>
              <w:top w:val="single" w:sz="4" w:space="0" w:color="auto"/>
              <w:left w:val="single" w:sz="4" w:space="0" w:color="auto"/>
              <w:bottom w:val="single" w:sz="4" w:space="0" w:color="auto"/>
              <w:right w:val="single" w:sz="4" w:space="0" w:color="auto"/>
            </w:tcBorders>
          </w:tcPr>
          <w:p w14:paraId="27B923EC" w14:textId="77777777" w:rsidR="00D2305E" w:rsidRPr="00BA6536" w:rsidRDefault="00D2305E" w:rsidP="00D2305E">
            <w:pPr>
              <w:tabs>
                <w:tab w:val="left" w:pos="900"/>
              </w:tabs>
              <w:jc w:val="center"/>
            </w:pPr>
            <w:r w:rsidRPr="00BA6536">
              <w:t>53</w:t>
            </w:r>
          </w:p>
          <w:p w14:paraId="04A3DA7F" w14:textId="77777777" w:rsidR="00D2305E" w:rsidRPr="00BA6536" w:rsidRDefault="00D2305E" w:rsidP="00D2305E">
            <w:pPr>
              <w:tabs>
                <w:tab w:val="left" w:pos="900"/>
              </w:tabs>
              <w:jc w:val="center"/>
            </w:pPr>
            <w:r w:rsidRPr="00BA6536">
              <w:t>33</w:t>
            </w:r>
          </w:p>
        </w:tc>
        <w:tc>
          <w:tcPr>
            <w:tcW w:w="1620" w:type="dxa"/>
            <w:tcBorders>
              <w:top w:val="single" w:sz="4" w:space="0" w:color="auto"/>
              <w:left w:val="single" w:sz="4" w:space="0" w:color="auto"/>
              <w:bottom w:val="single" w:sz="4" w:space="0" w:color="auto"/>
              <w:right w:val="single" w:sz="4" w:space="0" w:color="auto"/>
            </w:tcBorders>
          </w:tcPr>
          <w:p w14:paraId="1D01F1BC" w14:textId="77777777" w:rsidR="00D2305E" w:rsidRPr="00BA6536" w:rsidRDefault="00D2305E" w:rsidP="00D2305E">
            <w:pPr>
              <w:tabs>
                <w:tab w:val="left" w:pos="900"/>
              </w:tabs>
              <w:jc w:val="center"/>
              <w:rPr>
                <w:bCs/>
              </w:rPr>
            </w:pPr>
            <w:r w:rsidRPr="00BA6536">
              <w:rPr>
                <w:bCs/>
              </w:rPr>
              <w:t>$99/hr</w:t>
            </w:r>
          </w:p>
          <w:p w14:paraId="6EA38A97" w14:textId="77777777" w:rsidR="00D2305E" w:rsidRPr="00BA6536" w:rsidRDefault="00D2305E" w:rsidP="00D2305E">
            <w:pPr>
              <w:tabs>
                <w:tab w:val="left" w:pos="900"/>
              </w:tabs>
              <w:jc w:val="center"/>
            </w:pPr>
            <w:r w:rsidRPr="00BA6536">
              <w:rPr>
                <w:bCs/>
              </w:rPr>
              <w:t>$99/hr</w:t>
            </w:r>
          </w:p>
        </w:tc>
      </w:tr>
      <w:tr w:rsidR="00D2305E" w:rsidRPr="00BA6536" w14:paraId="674A450E" w14:textId="77777777" w:rsidTr="002B4CDA">
        <w:tc>
          <w:tcPr>
            <w:tcW w:w="3960" w:type="dxa"/>
            <w:tcBorders>
              <w:top w:val="single" w:sz="4" w:space="0" w:color="auto"/>
              <w:left w:val="single" w:sz="4" w:space="0" w:color="auto"/>
              <w:bottom w:val="single" w:sz="4" w:space="0" w:color="auto"/>
              <w:right w:val="single" w:sz="4" w:space="0" w:color="auto"/>
            </w:tcBorders>
          </w:tcPr>
          <w:p w14:paraId="52A5C2D1"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297" w:name="_Toc383700118"/>
            <w:r w:rsidRPr="00BA6536">
              <w:rPr>
                <w:rFonts w:asciiTheme="minorHAnsi" w:hAnsiTheme="minorHAnsi"/>
                <w:b w:val="0"/>
                <w:bCs w:val="0"/>
                <w:sz w:val="22"/>
                <w:szCs w:val="22"/>
              </w:rPr>
              <w:t>Reclamation Plan</w:t>
            </w:r>
            <w:bookmarkEnd w:id="297"/>
          </w:p>
        </w:tc>
        <w:tc>
          <w:tcPr>
            <w:tcW w:w="1170" w:type="dxa"/>
            <w:tcBorders>
              <w:top w:val="single" w:sz="4" w:space="0" w:color="auto"/>
              <w:left w:val="single" w:sz="4" w:space="0" w:color="auto"/>
              <w:bottom w:val="single" w:sz="4" w:space="0" w:color="auto"/>
              <w:right w:val="single" w:sz="4" w:space="0" w:color="auto"/>
            </w:tcBorders>
          </w:tcPr>
          <w:p w14:paraId="3C2FBC2B"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298" w:name="_Toc383700119"/>
            <w:r w:rsidRPr="00BA6536">
              <w:rPr>
                <w:rFonts w:asciiTheme="minorHAnsi" w:hAnsiTheme="minorHAnsi"/>
                <w:b w:val="0"/>
                <w:bCs w:val="0"/>
                <w:sz w:val="22"/>
                <w:szCs w:val="22"/>
              </w:rPr>
              <w:t>$495</w:t>
            </w:r>
            <w:bookmarkEnd w:id="298"/>
          </w:p>
        </w:tc>
        <w:tc>
          <w:tcPr>
            <w:tcW w:w="1890" w:type="dxa"/>
            <w:tcBorders>
              <w:top w:val="single" w:sz="4" w:space="0" w:color="auto"/>
              <w:left w:val="single" w:sz="4" w:space="0" w:color="auto"/>
              <w:bottom w:val="single" w:sz="4" w:space="0" w:color="auto"/>
              <w:right w:val="single" w:sz="4" w:space="0" w:color="auto"/>
            </w:tcBorders>
          </w:tcPr>
          <w:p w14:paraId="0E529B36"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299" w:name="_Toc383700120"/>
            <w:r w:rsidRPr="00BA6536">
              <w:rPr>
                <w:rFonts w:asciiTheme="minorHAnsi" w:hAnsiTheme="minorHAnsi"/>
                <w:b w:val="0"/>
                <w:bCs w:val="0"/>
                <w:sz w:val="22"/>
                <w:szCs w:val="22"/>
              </w:rPr>
              <w:t>30</w:t>
            </w:r>
            <w:bookmarkEnd w:id="299"/>
          </w:p>
        </w:tc>
        <w:tc>
          <w:tcPr>
            <w:tcW w:w="1620" w:type="dxa"/>
            <w:tcBorders>
              <w:top w:val="single" w:sz="4" w:space="0" w:color="auto"/>
              <w:left w:val="single" w:sz="4" w:space="0" w:color="auto"/>
              <w:bottom w:val="single" w:sz="4" w:space="0" w:color="auto"/>
              <w:right w:val="single" w:sz="4" w:space="0" w:color="auto"/>
            </w:tcBorders>
          </w:tcPr>
          <w:p w14:paraId="12191513"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00" w:name="_Toc383700121"/>
            <w:r w:rsidRPr="00BA6536">
              <w:rPr>
                <w:rFonts w:asciiTheme="minorHAnsi" w:hAnsiTheme="minorHAnsi"/>
                <w:b w:val="0"/>
                <w:bCs w:val="0"/>
                <w:sz w:val="22"/>
                <w:szCs w:val="22"/>
              </w:rPr>
              <w:t>$99/hr</w:t>
            </w:r>
            <w:bookmarkEnd w:id="300"/>
          </w:p>
        </w:tc>
      </w:tr>
      <w:tr w:rsidR="00D2305E" w:rsidRPr="00BA6536" w14:paraId="4D83CA3D" w14:textId="77777777" w:rsidTr="002B4CDA">
        <w:tc>
          <w:tcPr>
            <w:tcW w:w="3960" w:type="dxa"/>
            <w:tcBorders>
              <w:top w:val="single" w:sz="4" w:space="0" w:color="auto"/>
              <w:left w:val="single" w:sz="4" w:space="0" w:color="auto"/>
              <w:bottom w:val="single" w:sz="4" w:space="0" w:color="auto"/>
              <w:right w:val="single" w:sz="4" w:space="0" w:color="auto"/>
            </w:tcBorders>
          </w:tcPr>
          <w:p w14:paraId="27480B0C"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01" w:name="_Toc383700122"/>
            <w:r w:rsidRPr="00BA6536">
              <w:rPr>
                <w:rFonts w:asciiTheme="minorHAnsi" w:hAnsiTheme="minorHAnsi"/>
                <w:b w:val="0"/>
                <w:bCs w:val="0"/>
                <w:sz w:val="22"/>
                <w:szCs w:val="22"/>
              </w:rPr>
              <w:t>Specific Plan</w:t>
            </w:r>
            <w:bookmarkEnd w:id="301"/>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14:paraId="11DC807D"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302" w:name="_Toc383700123"/>
            <w:r w:rsidRPr="00BA6536">
              <w:rPr>
                <w:rFonts w:asciiTheme="minorHAnsi" w:hAnsiTheme="minorHAnsi"/>
                <w:b w:val="0"/>
                <w:bCs w:val="0"/>
                <w:sz w:val="22"/>
                <w:szCs w:val="22"/>
              </w:rPr>
              <w:t>$495</w:t>
            </w:r>
            <w:bookmarkEnd w:id="302"/>
          </w:p>
        </w:tc>
        <w:tc>
          <w:tcPr>
            <w:tcW w:w="1890" w:type="dxa"/>
            <w:tcBorders>
              <w:top w:val="single" w:sz="4" w:space="0" w:color="auto"/>
              <w:left w:val="single" w:sz="4" w:space="0" w:color="auto"/>
              <w:bottom w:val="single" w:sz="4" w:space="0" w:color="auto"/>
              <w:right w:val="single" w:sz="4" w:space="0" w:color="auto"/>
            </w:tcBorders>
          </w:tcPr>
          <w:p w14:paraId="5339E691"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03" w:name="_Toc383700124"/>
            <w:r w:rsidRPr="00BA6536">
              <w:rPr>
                <w:rFonts w:asciiTheme="minorHAnsi" w:hAnsiTheme="minorHAnsi"/>
                <w:b w:val="0"/>
                <w:bCs w:val="0"/>
                <w:sz w:val="22"/>
                <w:szCs w:val="22"/>
              </w:rPr>
              <w:t>100</w:t>
            </w:r>
            <w:bookmarkEnd w:id="303"/>
          </w:p>
        </w:tc>
        <w:tc>
          <w:tcPr>
            <w:tcW w:w="1620" w:type="dxa"/>
            <w:tcBorders>
              <w:top w:val="single" w:sz="4" w:space="0" w:color="auto"/>
              <w:left w:val="single" w:sz="4" w:space="0" w:color="auto"/>
              <w:bottom w:val="single" w:sz="4" w:space="0" w:color="auto"/>
              <w:right w:val="single" w:sz="4" w:space="0" w:color="auto"/>
            </w:tcBorders>
          </w:tcPr>
          <w:p w14:paraId="6F4F3A7D"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04" w:name="_Toc383700125"/>
            <w:r w:rsidRPr="00BA6536">
              <w:rPr>
                <w:rFonts w:asciiTheme="minorHAnsi" w:hAnsiTheme="minorHAnsi"/>
                <w:b w:val="0"/>
                <w:bCs w:val="0"/>
                <w:sz w:val="22"/>
                <w:szCs w:val="22"/>
              </w:rPr>
              <w:t>$99/hr</w:t>
            </w:r>
            <w:bookmarkEnd w:id="304"/>
          </w:p>
        </w:tc>
      </w:tr>
      <w:tr w:rsidR="00D2305E" w:rsidRPr="00BA6536" w14:paraId="5C5E874D" w14:textId="77777777" w:rsidTr="002B4CDA">
        <w:tc>
          <w:tcPr>
            <w:tcW w:w="3960" w:type="dxa"/>
            <w:tcBorders>
              <w:top w:val="single" w:sz="4" w:space="0" w:color="auto"/>
              <w:left w:val="single" w:sz="4" w:space="0" w:color="auto"/>
              <w:bottom w:val="single" w:sz="4" w:space="0" w:color="auto"/>
              <w:right w:val="single" w:sz="4" w:space="0" w:color="auto"/>
            </w:tcBorders>
          </w:tcPr>
          <w:p w14:paraId="53F277AD"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05" w:name="_Toc383700126"/>
            <w:r w:rsidRPr="00BA6536">
              <w:rPr>
                <w:rFonts w:asciiTheme="minorHAnsi" w:hAnsiTheme="minorHAnsi"/>
                <w:b w:val="0"/>
                <w:bCs w:val="0"/>
                <w:sz w:val="22"/>
                <w:szCs w:val="22"/>
              </w:rPr>
              <w:t>Time Shares</w:t>
            </w:r>
            <w:bookmarkEnd w:id="305"/>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14:paraId="17E608CF"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306" w:name="_Toc383700127"/>
            <w:r w:rsidRPr="00BA6536">
              <w:rPr>
                <w:rFonts w:asciiTheme="minorHAnsi" w:hAnsiTheme="minorHAnsi"/>
                <w:b w:val="0"/>
                <w:bCs w:val="0"/>
                <w:sz w:val="22"/>
                <w:szCs w:val="22"/>
              </w:rPr>
              <w:t>$495</w:t>
            </w:r>
            <w:bookmarkEnd w:id="306"/>
          </w:p>
        </w:tc>
        <w:tc>
          <w:tcPr>
            <w:tcW w:w="1890" w:type="dxa"/>
            <w:tcBorders>
              <w:top w:val="single" w:sz="4" w:space="0" w:color="auto"/>
              <w:left w:val="single" w:sz="4" w:space="0" w:color="auto"/>
              <w:bottom w:val="single" w:sz="4" w:space="0" w:color="auto"/>
              <w:right w:val="single" w:sz="4" w:space="0" w:color="auto"/>
            </w:tcBorders>
          </w:tcPr>
          <w:p w14:paraId="6EECA252"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07" w:name="_Toc383700128"/>
            <w:r w:rsidRPr="00BA6536">
              <w:rPr>
                <w:rFonts w:asciiTheme="minorHAnsi" w:hAnsiTheme="minorHAnsi"/>
                <w:b w:val="0"/>
                <w:bCs w:val="0"/>
                <w:sz w:val="22"/>
                <w:szCs w:val="22"/>
              </w:rPr>
              <w:t>18</w:t>
            </w:r>
            <w:bookmarkEnd w:id="307"/>
          </w:p>
        </w:tc>
        <w:tc>
          <w:tcPr>
            <w:tcW w:w="1620" w:type="dxa"/>
            <w:tcBorders>
              <w:top w:val="single" w:sz="4" w:space="0" w:color="auto"/>
              <w:left w:val="single" w:sz="4" w:space="0" w:color="auto"/>
              <w:bottom w:val="single" w:sz="4" w:space="0" w:color="auto"/>
              <w:right w:val="single" w:sz="4" w:space="0" w:color="auto"/>
            </w:tcBorders>
          </w:tcPr>
          <w:p w14:paraId="071C1BAE"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08" w:name="_Toc383700129"/>
            <w:r w:rsidRPr="00BA6536">
              <w:rPr>
                <w:rFonts w:asciiTheme="minorHAnsi" w:hAnsiTheme="minorHAnsi"/>
                <w:b w:val="0"/>
                <w:bCs w:val="0"/>
                <w:sz w:val="22"/>
                <w:szCs w:val="22"/>
              </w:rPr>
              <w:t>$99/hr</w:t>
            </w:r>
            <w:bookmarkEnd w:id="308"/>
          </w:p>
        </w:tc>
      </w:tr>
      <w:tr w:rsidR="00D2305E" w:rsidRPr="00BA6536" w14:paraId="5D2AFA39" w14:textId="77777777" w:rsidTr="002B4CDA">
        <w:tc>
          <w:tcPr>
            <w:tcW w:w="3960" w:type="dxa"/>
            <w:tcBorders>
              <w:top w:val="single" w:sz="4" w:space="0" w:color="auto"/>
              <w:left w:val="single" w:sz="4" w:space="0" w:color="auto"/>
              <w:bottom w:val="single" w:sz="4" w:space="0" w:color="auto"/>
              <w:right w:val="single" w:sz="4" w:space="0" w:color="auto"/>
            </w:tcBorders>
          </w:tcPr>
          <w:p w14:paraId="31796B71"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09" w:name="_Toc383700130"/>
            <w:r w:rsidRPr="00BA6536">
              <w:rPr>
                <w:rFonts w:asciiTheme="minorHAnsi" w:hAnsiTheme="minorHAnsi"/>
                <w:b w:val="0"/>
                <w:bCs w:val="0"/>
                <w:sz w:val="22"/>
                <w:szCs w:val="22"/>
              </w:rPr>
              <w:t>Tract Map:  Tentative</w:t>
            </w:r>
            <w:bookmarkEnd w:id="309"/>
          </w:p>
          <w:p w14:paraId="1A1B990F"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10" w:name="_Toc383700131"/>
            <w:r w:rsidRPr="00BA6536">
              <w:rPr>
                <w:rFonts w:asciiTheme="minorHAnsi" w:hAnsiTheme="minorHAnsi"/>
                <w:b w:val="0"/>
                <w:bCs w:val="0"/>
                <w:sz w:val="22"/>
                <w:szCs w:val="22"/>
              </w:rPr>
              <w:t>Modification</w:t>
            </w:r>
            <w:bookmarkEnd w:id="310"/>
          </w:p>
        </w:tc>
        <w:tc>
          <w:tcPr>
            <w:tcW w:w="1170" w:type="dxa"/>
            <w:tcBorders>
              <w:top w:val="single" w:sz="4" w:space="0" w:color="auto"/>
              <w:left w:val="single" w:sz="4" w:space="0" w:color="auto"/>
              <w:bottom w:val="single" w:sz="4" w:space="0" w:color="auto"/>
              <w:right w:val="single" w:sz="4" w:space="0" w:color="auto"/>
            </w:tcBorders>
          </w:tcPr>
          <w:p w14:paraId="2FCB811C"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11" w:name="_Toc383700132"/>
            <w:r w:rsidRPr="00BA6536">
              <w:rPr>
                <w:rFonts w:asciiTheme="minorHAnsi" w:hAnsiTheme="minorHAnsi"/>
                <w:b w:val="0"/>
                <w:bCs w:val="0"/>
                <w:sz w:val="22"/>
                <w:szCs w:val="22"/>
              </w:rPr>
              <w:t>$495</w:t>
            </w:r>
            <w:bookmarkEnd w:id="311"/>
          </w:p>
          <w:p w14:paraId="2D24CC8A" w14:textId="77777777" w:rsidR="00D2305E" w:rsidRPr="00BA6536" w:rsidRDefault="00D2305E" w:rsidP="00D2305E">
            <w:pPr>
              <w:pStyle w:val="Heading3"/>
              <w:jc w:val="center"/>
              <w:rPr>
                <w:rFonts w:asciiTheme="minorHAnsi" w:hAnsiTheme="minorHAnsi"/>
                <w:b w:val="0"/>
                <w:bCs w:val="0"/>
                <w:sz w:val="22"/>
                <w:szCs w:val="22"/>
              </w:rPr>
            </w:pPr>
            <w:bookmarkStart w:id="312" w:name="_Toc383700133"/>
            <w:r w:rsidRPr="00BA6536">
              <w:rPr>
                <w:rFonts w:asciiTheme="minorHAnsi" w:hAnsiTheme="minorHAnsi"/>
                <w:b w:val="0"/>
                <w:bCs w:val="0"/>
                <w:sz w:val="22"/>
                <w:szCs w:val="22"/>
              </w:rPr>
              <w:t>$495</w:t>
            </w:r>
            <w:bookmarkEnd w:id="312"/>
          </w:p>
        </w:tc>
        <w:tc>
          <w:tcPr>
            <w:tcW w:w="1890" w:type="dxa"/>
            <w:tcBorders>
              <w:top w:val="single" w:sz="4" w:space="0" w:color="auto"/>
              <w:left w:val="single" w:sz="4" w:space="0" w:color="auto"/>
              <w:bottom w:val="single" w:sz="4" w:space="0" w:color="auto"/>
              <w:right w:val="single" w:sz="4" w:space="0" w:color="auto"/>
            </w:tcBorders>
          </w:tcPr>
          <w:p w14:paraId="77C79AE7" w14:textId="77777777" w:rsidR="00D2305E" w:rsidRPr="00BA6536" w:rsidRDefault="00D2305E" w:rsidP="00D2305E">
            <w:pPr>
              <w:tabs>
                <w:tab w:val="left" w:pos="900"/>
              </w:tabs>
              <w:jc w:val="center"/>
            </w:pPr>
            <w:r w:rsidRPr="00BA6536">
              <w:t>68</w:t>
            </w:r>
          </w:p>
          <w:p w14:paraId="3F8E88C7" w14:textId="77777777" w:rsidR="00D2305E" w:rsidRPr="00BA6536" w:rsidRDefault="00D2305E" w:rsidP="00D2305E">
            <w:pPr>
              <w:tabs>
                <w:tab w:val="left" w:pos="900"/>
              </w:tabs>
              <w:jc w:val="center"/>
            </w:pPr>
            <w:r w:rsidRPr="00BA6536">
              <w:t>39</w:t>
            </w:r>
          </w:p>
        </w:tc>
        <w:tc>
          <w:tcPr>
            <w:tcW w:w="1620" w:type="dxa"/>
            <w:tcBorders>
              <w:top w:val="single" w:sz="4" w:space="0" w:color="auto"/>
              <w:left w:val="single" w:sz="4" w:space="0" w:color="auto"/>
              <w:bottom w:val="single" w:sz="4" w:space="0" w:color="auto"/>
              <w:right w:val="single" w:sz="4" w:space="0" w:color="auto"/>
            </w:tcBorders>
          </w:tcPr>
          <w:p w14:paraId="5A2213AE" w14:textId="77777777" w:rsidR="00D2305E" w:rsidRPr="00BA6536" w:rsidRDefault="00D2305E" w:rsidP="00D2305E">
            <w:pPr>
              <w:tabs>
                <w:tab w:val="left" w:pos="900"/>
              </w:tabs>
              <w:jc w:val="center"/>
              <w:rPr>
                <w:bCs/>
              </w:rPr>
            </w:pPr>
            <w:r w:rsidRPr="00BA6536">
              <w:rPr>
                <w:bCs/>
              </w:rPr>
              <w:t>$99/hr</w:t>
            </w:r>
          </w:p>
          <w:p w14:paraId="6859EECC" w14:textId="77777777" w:rsidR="00D2305E" w:rsidRPr="00BA6536" w:rsidRDefault="00D2305E" w:rsidP="00D2305E">
            <w:pPr>
              <w:tabs>
                <w:tab w:val="left" w:pos="900"/>
              </w:tabs>
              <w:jc w:val="center"/>
              <w:rPr>
                <w:bCs/>
              </w:rPr>
            </w:pPr>
            <w:r w:rsidRPr="00BA6536">
              <w:rPr>
                <w:bCs/>
              </w:rPr>
              <w:t>$99/hr</w:t>
            </w:r>
          </w:p>
        </w:tc>
      </w:tr>
      <w:tr w:rsidR="00D2305E" w:rsidRPr="00BA6536" w14:paraId="039444BC" w14:textId="77777777" w:rsidTr="002B4CDA">
        <w:tc>
          <w:tcPr>
            <w:tcW w:w="3960" w:type="dxa"/>
            <w:tcBorders>
              <w:top w:val="single" w:sz="4" w:space="0" w:color="auto"/>
              <w:left w:val="single" w:sz="4" w:space="0" w:color="auto"/>
              <w:bottom w:val="single" w:sz="4" w:space="0" w:color="auto"/>
              <w:right w:val="single" w:sz="4" w:space="0" w:color="auto"/>
            </w:tcBorders>
          </w:tcPr>
          <w:p w14:paraId="54CE4F0C"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13" w:name="_Toc383700134"/>
            <w:r w:rsidRPr="00BA6536">
              <w:rPr>
                <w:rFonts w:asciiTheme="minorHAnsi" w:hAnsiTheme="minorHAnsi"/>
                <w:b w:val="0"/>
                <w:bCs w:val="0"/>
                <w:sz w:val="22"/>
                <w:szCs w:val="22"/>
              </w:rPr>
              <w:t>Use Permit</w:t>
            </w:r>
            <w:bookmarkEnd w:id="313"/>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14:paraId="09BB603F"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314" w:name="_Toc383700135"/>
            <w:r w:rsidRPr="00BA6536">
              <w:rPr>
                <w:rFonts w:asciiTheme="minorHAnsi" w:hAnsiTheme="minorHAnsi"/>
                <w:b w:val="0"/>
                <w:bCs w:val="0"/>
                <w:sz w:val="22"/>
                <w:szCs w:val="22"/>
              </w:rPr>
              <w:t>$495</w:t>
            </w:r>
            <w:bookmarkEnd w:id="314"/>
          </w:p>
        </w:tc>
        <w:tc>
          <w:tcPr>
            <w:tcW w:w="1890" w:type="dxa"/>
            <w:tcBorders>
              <w:top w:val="single" w:sz="4" w:space="0" w:color="auto"/>
              <w:left w:val="single" w:sz="4" w:space="0" w:color="auto"/>
              <w:bottom w:val="single" w:sz="4" w:space="0" w:color="auto"/>
              <w:right w:val="single" w:sz="4" w:space="0" w:color="auto"/>
            </w:tcBorders>
          </w:tcPr>
          <w:p w14:paraId="7467FF0A"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15" w:name="_Toc383700136"/>
            <w:r w:rsidRPr="00BA6536">
              <w:rPr>
                <w:rFonts w:asciiTheme="minorHAnsi" w:hAnsiTheme="minorHAnsi"/>
                <w:b w:val="0"/>
                <w:bCs w:val="0"/>
                <w:sz w:val="22"/>
                <w:szCs w:val="22"/>
              </w:rPr>
              <w:t>30</w:t>
            </w:r>
            <w:bookmarkEnd w:id="315"/>
          </w:p>
        </w:tc>
        <w:tc>
          <w:tcPr>
            <w:tcW w:w="1620" w:type="dxa"/>
            <w:tcBorders>
              <w:top w:val="single" w:sz="4" w:space="0" w:color="auto"/>
              <w:left w:val="single" w:sz="4" w:space="0" w:color="auto"/>
              <w:bottom w:val="single" w:sz="4" w:space="0" w:color="auto"/>
              <w:right w:val="single" w:sz="4" w:space="0" w:color="auto"/>
            </w:tcBorders>
          </w:tcPr>
          <w:p w14:paraId="54B01EA3"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16" w:name="_Toc383700137"/>
            <w:r w:rsidRPr="00BA6536">
              <w:rPr>
                <w:rFonts w:asciiTheme="minorHAnsi" w:hAnsiTheme="minorHAnsi"/>
                <w:b w:val="0"/>
                <w:bCs w:val="0"/>
                <w:sz w:val="22"/>
                <w:szCs w:val="22"/>
              </w:rPr>
              <w:t>$99/hr</w:t>
            </w:r>
            <w:bookmarkEnd w:id="316"/>
          </w:p>
        </w:tc>
      </w:tr>
      <w:tr w:rsidR="00D2305E" w:rsidRPr="00BA6536" w14:paraId="0A5E8968" w14:textId="77777777" w:rsidTr="002B4CDA">
        <w:tc>
          <w:tcPr>
            <w:tcW w:w="3960" w:type="dxa"/>
            <w:tcBorders>
              <w:top w:val="single" w:sz="4" w:space="0" w:color="auto"/>
              <w:left w:val="single" w:sz="4" w:space="0" w:color="auto"/>
              <w:bottom w:val="single" w:sz="4" w:space="0" w:color="auto"/>
              <w:right w:val="single" w:sz="4" w:space="0" w:color="auto"/>
            </w:tcBorders>
          </w:tcPr>
          <w:p w14:paraId="6A1D9AE3"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17" w:name="_Toc383700138"/>
            <w:r w:rsidRPr="00BA6536">
              <w:rPr>
                <w:rFonts w:asciiTheme="minorHAnsi" w:hAnsiTheme="minorHAnsi"/>
                <w:b w:val="0"/>
                <w:bCs w:val="0"/>
                <w:sz w:val="22"/>
                <w:szCs w:val="22"/>
              </w:rPr>
              <w:t>Use Permit Modification</w:t>
            </w:r>
            <w:bookmarkEnd w:id="317"/>
          </w:p>
        </w:tc>
        <w:tc>
          <w:tcPr>
            <w:tcW w:w="1170" w:type="dxa"/>
            <w:tcBorders>
              <w:top w:val="single" w:sz="4" w:space="0" w:color="auto"/>
              <w:left w:val="single" w:sz="4" w:space="0" w:color="auto"/>
              <w:bottom w:val="single" w:sz="4" w:space="0" w:color="auto"/>
              <w:right w:val="single" w:sz="4" w:space="0" w:color="auto"/>
            </w:tcBorders>
          </w:tcPr>
          <w:p w14:paraId="0CCBF852"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318" w:name="_Toc383700139"/>
            <w:r w:rsidRPr="00BA6536">
              <w:rPr>
                <w:rFonts w:asciiTheme="minorHAnsi" w:hAnsiTheme="minorHAnsi"/>
                <w:b w:val="0"/>
                <w:bCs w:val="0"/>
                <w:sz w:val="22"/>
                <w:szCs w:val="22"/>
              </w:rPr>
              <w:t>$495</w:t>
            </w:r>
            <w:bookmarkEnd w:id="318"/>
          </w:p>
        </w:tc>
        <w:tc>
          <w:tcPr>
            <w:tcW w:w="1890" w:type="dxa"/>
            <w:tcBorders>
              <w:top w:val="single" w:sz="4" w:space="0" w:color="auto"/>
              <w:left w:val="single" w:sz="4" w:space="0" w:color="auto"/>
              <w:bottom w:val="single" w:sz="4" w:space="0" w:color="auto"/>
              <w:right w:val="single" w:sz="4" w:space="0" w:color="auto"/>
            </w:tcBorders>
          </w:tcPr>
          <w:p w14:paraId="08020CF4"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19" w:name="_Toc383700140"/>
            <w:r w:rsidRPr="00BA6536">
              <w:rPr>
                <w:rFonts w:asciiTheme="minorHAnsi" w:hAnsiTheme="minorHAnsi"/>
                <w:b w:val="0"/>
                <w:bCs w:val="0"/>
                <w:sz w:val="22"/>
                <w:szCs w:val="22"/>
              </w:rPr>
              <w:t>15</w:t>
            </w:r>
            <w:bookmarkEnd w:id="319"/>
          </w:p>
        </w:tc>
        <w:tc>
          <w:tcPr>
            <w:tcW w:w="1620" w:type="dxa"/>
            <w:tcBorders>
              <w:top w:val="single" w:sz="4" w:space="0" w:color="auto"/>
              <w:left w:val="single" w:sz="4" w:space="0" w:color="auto"/>
              <w:bottom w:val="single" w:sz="4" w:space="0" w:color="auto"/>
              <w:right w:val="single" w:sz="4" w:space="0" w:color="auto"/>
            </w:tcBorders>
          </w:tcPr>
          <w:p w14:paraId="51B791BB"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20" w:name="_Toc383700141"/>
            <w:r w:rsidRPr="00BA6536">
              <w:rPr>
                <w:rFonts w:asciiTheme="minorHAnsi" w:hAnsiTheme="minorHAnsi"/>
                <w:b w:val="0"/>
                <w:bCs w:val="0"/>
                <w:sz w:val="22"/>
                <w:szCs w:val="22"/>
              </w:rPr>
              <w:t>$99/hr</w:t>
            </w:r>
            <w:bookmarkEnd w:id="320"/>
          </w:p>
        </w:tc>
      </w:tr>
      <w:tr w:rsidR="00D2305E" w:rsidRPr="00BA6536" w14:paraId="20DFED86" w14:textId="77777777" w:rsidTr="002B4CDA">
        <w:tc>
          <w:tcPr>
            <w:tcW w:w="3960" w:type="dxa"/>
            <w:tcBorders>
              <w:top w:val="single" w:sz="4" w:space="0" w:color="auto"/>
              <w:left w:val="single" w:sz="4" w:space="0" w:color="auto"/>
              <w:bottom w:val="single" w:sz="4" w:space="0" w:color="auto"/>
              <w:right w:val="single" w:sz="4" w:space="0" w:color="auto"/>
            </w:tcBorders>
          </w:tcPr>
          <w:p w14:paraId="67C9FF6B" w14:textId="77777777" w:rsidR="00D2305E" w:rsidRPr="00BA6536" w:rsidRDefault="00D2305E" w:rsidP="002B4CDA">
            <w:pPr>
              <w:pStyle w:val="Heading3"/>
              <w:tabs>
                <w:tab w:val="left" w:pos="900"/>
              </w:tabs>
              <w:rPr>
                <w:rFonts w:asciiTheme="minorHAnsi" w:hAnsiTheme="minorHAnsi"/>
                <w:b w:val="0"/>
                <w:bCs w:val="0"/>
                <w:sz w:val="22"/>
                <w:szCs w:val="22"/>
              </w:rPr>
            </w:pPr>
            <w:r w:rsidRPr="00BA6536">
              <w:rPr>
                <w:rFonts w:asciiTheme="minorHAnsi" w:hAnsiTheme="minorHAnsi"/>
                <w:b w:val="0"/>
                <w:bCs w:val="0"/>
                <w:sz w:val="22"/>
                <w:szCs w:val="22"/>
              </w:rPr>
              <w:t xml:space="preserve">  </w:t>
            </w:r>
            <w:bookmarkStart w:id="321" w:name="_Toc383700142"/>
            <w:r w:rsidRPr="00BA6536">
              <w:rPr>
                <w:rFonts w:asciiTheme="minorHAnsi" w:hAnsiTheme="minorHAnsi"/>
                <w:b w:val="0"/>
                <w:bCs w:val="0"/>
                <w:sz w:val="22"/>
                <w:szCs w:val="22"/>
              </w:rPr>
              <w:t>Variance</w:t>
            </w:r>
            <w:bookmarkEnd w:id="321"/>
            <w:r w:rsidRPr="00BA6536">
              <w:rPr>
                <w:rFonts w:asciiTheme="minorHAnsi" w:hAnsiTheme="minorHAnsi"/>
                <w:b w:val="0"/>
                <w:bCs w:val="0"/>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tcPr>
          <w:p w14:paraId="4B58A541" w14:textId="77777777" w:rsidR="00D2305E" w:rsidRPr="00BA6536" w:rsidRDefault="00D2305E" w:rsidP="00D2305E">
            <w:pPr>
              <w:pStyle w:val="Heading3"/>
              <w:tabs>
                <w:tab w:val="left" w:pos="900"/>
              </w:tabs>
              <w:jc w:val="center"/>
              <w:rPr>
                <w:rFonts w:asciiTheme="minorHAnsi" w:hAnsiTheme="minorHAnsi"/>
                <w:b w:val="0"/>
                <w:bCs w:val="0"/>
                <w:sz w:val="22"/>
                <w:szCs w:val="22"/>
              </w:rPr>
            </w:pPr>
            <w:bookmarkStart w:id="322" w:name="_Toc383700143"/>
            <w:r w:rsidRPr="00BA6536">
              <w:rPr>
                <w:rFonts w:asciiTheme="minorHAnsi" w:hAnsiTheme="minorHAnsi"/>
                <w:b w:val="0"/>
                <w:bCs w:val="0"/>
                <w:sz w:val="22"/>
                <w:szCs w:val="22"/>
              </w:rPr>
              <w:t>$495</w:t>
            </w:r>
            <w:bookmarkEnd w:id="322"/>
          </w:p>
        </w:tc>
        <w:tc>
          <w:tcPr>
            <w:tcW w:w="1890" w:type="dxa"/>
            <w:tcBorders>
              <w:top w:val="single" w:sz="4" w:space="0" w:color="auto"/>
              <w:left w:val="single" w:sz="4" w:space="0" w:color="auto"/>
              <w:bottom w:val="single" w:sz="4" w:space="0" w:color="auto"/>
              <w:right w:val="single" w:sz="4" w:space="0" w:color="auto"/>
            </w:tcBorders>
          </w:tcPr>
          <w:p w14:paraId="22C89258"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23" w:name="_Toc383700144"/>
            <w:r w:rsidRPr="00BA6536">
              <w:rPr>
                <w:rFonts w:asciiTheme="minorHAnsi" w:hAnsiTheme="minorHAnsi"/>
                <w:b w:val="0"/>
                <w:bCs w:val="0"/>
                <w:sz w:val="22"/>
                <w:szCs w:val="22"/>
              </w:rPr>
              <w:t>20</w:t>
            </w:r>
            <w:bookmarkEnd w:id="323"/>
          </w:p>
        </w:tc>
        <w:tc>
          <w:tcPr>
            <w:tcW w:w="1620" w:type="dxa"/>
            <w:tcBorders>
              <w:top w:val="single" w:sz="4" w:space="0" w:color="auto"/>
              <w:left w:val="single" w:sz="4" w:space="0" w:color="auto"/>
              <w:bottom w:val="single" w:sz="4" w:space="0" w:color="auto"/>
              <w:right w:val="single" w:sz="4" w:space="0" w:color="auto"/>
            </w:tcBorders>
          </w:tcPr>
          <w:p w14:paraId="03A30ABF" w14:textId="77777777" w:rsidR="00D2305E" w:rsidRPr="00BA6536" w:rsidRDefault="00D2305E" w:rsidP="00D2305E">
            <w:pPr>
              <w:pStyle w:val="Heading3"/>
              <w:tabs>
                <w:tab w:val="clear" w:pos="360"/>
                <w:tab w:val="left" w:pos="342"/>
                <w:tab w:val="left" w:pos="900"/>
              </w:tabs>
              <w:jc w:val="center"/>
              <w:rPr>
                <w:rFonts w:asciiTheme="minorHAnsi" w:hAnsiTheme="minorHAnsi"/>
                <w:b w:val="0"/>
                <w:bCs w:val="0"/>
                <w:sz w:val="22"/>
                <w:szCs w:val="22"/>
              </w:rPr>
            </w:pPr>
            <w:bookmarkStart w:id="324" w:name="_Toc383700145"/>
            <w:r w:rsidRPr="00BA6536">
              <w:rPr>
                <w:rFonts w:asciiTheme="minorHAnsi" w:hAnsiTheme="minorHAnsi"/>
                <w:b w:val="0"/>
                <w:bCs w:val="0"/>
                <w:sz w:val="22"/>
                <w:szCs w:val="22"/>
              </w:rPr>
              <w:t>$99/hr</w:t>
            </w:r>
            <w:bookmarkEnd w:id="324"/>
          </w:p>
        </w:tc>
      </w:tr>
    </w:tbl>
    <w:p w14:paraId="49A7E0A1" w14:textId="77777777" w:rsidR="00D2305E" w:rsidRPr="00BA6536" w:rsidRDefault="00D2305E" w:rsidP="00D2305E">
      <w:pPr>
        <w:spacing w:after="0" w:line="280" w:lineRule="atLeast"/>
        <w:jc w:val="both"/>
        <w:rPr>
          <w:rFonts w:eastAsia="Times New Roman" w:cs="Times New Roman"/>
        </w:rPr>
      </w:pPr>
    </w:p>
    <w:p w14:paraId="48616E1C" w14:textId="77777777" w:rsidR="004332D4" w:rsidRPr="00BA6536" w:rsidRDefault="004332D4" w:rsidP="004332D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b/>
        </w:rPr>
      </w:pPr>
    </w:p>
    <w:p w14:paraId="5CC9F80B" w14:textId="77777777" w:rsidR="004332D4" w:rsidRPr="00BA6536" w:rsidRDefault="002E1FEA" w:rsidP="003D5E81">
      <w:pPr>
        <w:pStyle w:val="Heading3"/>
      </w:pPr>
      <w:bookmarkStart w:id="325" w:name="_Toc383700146"/>
      <w:r>
        <w:t xml:space="preserve">h. </w:t>
      </w:r>
      <w:r w:rsidR="004332D4" w:rsidRPr="00BA6536">
        <w:t>CONSTRAINTS ON PERSONS WITH DISABILITIES</w:t>
      </w:r>
      <w:bookmarkEnd w:id="325"/>
      <w:r w:rsidR="004332D4" w:rsidRPr="00BA6536">
        <w:fldChar w:fldCharType="begin"/>
      </w:r>
      <w:r w:rsidR="004332D4" w:rsidRPr="00BA6536">
        <w:instrText xml:space="preserve"> TC"</w:instrText>
      </w:r>
      <w:bookmarkStart w:id="326" w:name="_Toc76443990"/>
      <w:bookmarkStart w:id="327" w:name="_Toc123887130"/>
      <w:r w:rsidR="004332D4" w:rsidRPr="00BA6536">
        <w:instrText>Constraints on Persons with Disabilities</w:instrText>
      </w:r>
      <w:bookmarkEnd w:id="326"/>
      <w:bookmarkEnd w:id="327"/>
      <w:r w:rsidR="004332D4" w:rsidRPr="00BA6536">
        <w:instrText xml:space="preserve">"\l 3 </w:instrText>
      </w:r>
      <w:r w:rsidR="004332D4" w:rsidRPr="00BA6536">
        <w:fldChar w:fldCharType="end"/>
      </w:r>
    </w:p>
    <w:p w14:paraId="4B3DAFF6" w14:textId="77777777" w:rsidR="004332D4" w:rsidRPr="00776763" w:rsidRDefault="004332D4" w:rsidP="004332D4">
      <w:pPr>
        <w:spacing w:after="0" w:line="280" w:lineRule="atLeast"/>
        <w:jc w:val="both"/>
        <w:rPr>
          <w:rFonts w:eastAsia="Times New Roman" w:cs="Times New Roman"/>
        </w:rPr>
      </w:pPr>
      <w:r w:rsidRPr="00BA6536">
        <w:rPr>
          <w:rFonts w:eastAsia="Times New Roman" w:cs="Times New Roman"/>
        </w:rPr>
        <w:t>State housing law requires local jurisdictions to provide "reasonable accommodation" (i.e., "modifications and exceptions") for people with disabilities in their development regulations, permit processing, and building regulations and processes. Mono County's housing development policies and procedures comply with the requirements of SB 520 (Potential Constraints on Housing for Persons with Disabilities)</w:t>
      </w:r>
      <w:r w:rsidR="00D50649">
        <w:rPr>
          <w:rFonts w:eastAsia="Times New Roman" w:cs="Times New Roman"/>
        </w:rPr>
        <w:t xml:space="preserve">. </w:t>
      </w:r>
      <w:r w:rsidR="00D50649" w:rsidRPr="00776763">
        <w:rPr>
          <w:rFonts w:eastAsia="Times New Roman" w:cs="Times New Roman"/>
        </w:rPr>
        <w:t xml:space="preserve">The following section (i-l) detail Mono County policies. </w:t>
      </w:r>
    </w:p>
    <w:p w14:paraId="189454C6" w14:textId="77777777" w:rsidR="008D49AF" w:rsidRPr="00BA6536" w:rsidRDefault="008D49AF" w:rsidP="004332D4">
      <w:pPr>
        <w:spacing w:after="0" w:line="280" w:lineRule="atLeast"/>
        <w:jc w:val="both"/>
        <w:rPr>
          <w:rFonts w:eastAsia="Times New Roman" w:cs="Times New Roman"/>
        </w:rPr>
      </w:pPr>
    </w:p>
    <w:p w14:paraId="0D84F2B2" w14:textId="77777777" w:rsidR="004332D4" w:rsidRPr="00BA6536" w:rsidRDefault="002E1FEA" w:rsidP="00D50649">
      <w:pPr>
        <w:pStyle w:val="Heading4"/>
      </w:pPr>
      <w:bookmarkStart w:id="328" w:name="_Toc383700147"/>
      <w:r>
        <w:t xml:space="preserve">i. </w:t>
      </w:r>
      <w:r w:rsidR="008D49AF" w:rsidRPr="00BA6536">
        <w:t>OVERALL</w:t>
      </w:r>
      <w:bookmarkEnd w:id="328"/>
    </w:p>
    <w:p w14:paraId="405F4412" w14:textId="77777777"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 xml:space="preserve">The County provides reasonable accommodation concerning development regulations, permit processing, and building regulations for persons with disabilities. The Building Official has the discretion to provide flexible interpretations of building codes. The Community Development Director is also provided some flexibility in expediting permit processing and interpreting development standards such as setbacks. </w:t>
      </w:r>
    </w:p>
    <w:p w14:paraId="21C3433A" w14:textId="77777777" w:rsidR="004332D4" w:rsidRPr="00BA6536" w:rsidRDefault="004332D4" w:rsidP="004332D4">
      <w:pPr>
        <w:spacing w:after="0" w:line="280" w:lineRule="atLeast"/>
        <w:jc w:val="both"/>
        <w:rPr>
          <w:rFonts w:eastAsia="Times New Roman" w:cs="Times New Roman"/>
        </w:rPr>
      </w:pPr>
    </w:p>
    <w:p w14:paraId="5AF6D5FF" w14:textId="77777777"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Requests for reasonable accommodation are made directly to the Building Official (building issues) or the Community Development Director (planning/development regulations issues). For planning/development regulations issues, if the issue is beyond the authority of the Community Development Director, the item is taken to the Planning Commission for interpretation. The Community Development Department also encourages free pre</w:t>
      </w:r>
      <w:r w:rsidR="00A51DD7" w:rsidRPr="00BA6536">
        <w:rPr>
          <w:rFonts w:eastAsia="Times New Roman" w:cs="Times New Roman"/>
        </w:rPr>
        <w:t>-</w:t>
      </w:r>
      <w:r w:rsidRPr="00BA6536">
        <w:rPr>
          <w:rFonts w:eastAsia="Times New Roman" w:cs="Times New Roman"/>
        </w:rPr>
        <w:t>application conferences to clarify and work through disability design standards.</w:t>
      </w:r>
    </w:p>
    <w:p w14:paraId="4A7C6DE1" w14:textId="77777777" w:rsidR="004332D4" w:rsidRPr="00BA6536" w:rsidRDefault="004332D4" w:rsidP="004332D4">
      <w:pPr>
        <w:spacing w:after="0" w:line="280" w:lineRule="atLeast"/>
        <w:jc w:val="both"/>
        <w:rPr>
          <w:rFonts w:eastAsia="Times New Roman" w:cs="Times New Roman"/>
        </w:rPr>
      </w:pPr>
    </w:p>
    <w:p w14:paraId="22902D34" w14:textId="77777777"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Regional social service agencies (Mono County Social Services, IMACA, Kern Regional Center) work with low-income, disabled and senior clients on an individual basis to retrofit their homes with ramps and other assistance devices. These projects at the most will require a building permit from the County.</w:t>
      </w:r>
    </w:p>
    <w:p w14:paraId="1022DCEA" w14:textId="77777777" w:rsidR="004332D4" w:rsidRPr="00BA6536" w:rsidRDefault="004332D4" w:rsidP="004332D4">
      <w:pPr>
        <w:spacing w:after="0" w:line="280" w:lineRule="atLeast"/>
        <w:jc w:val="both"/>
        <w:rPr>
          <w:rFonts w:eastAsia="Times New Roman" w:cs="Times New Roman"/>
        </w:rPr>
      </w:pPr>
    </w:p>
    <w:p w14:paraId="2481B941" w14:textId="77777777"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 xml:space="preserve">The County reviewed all its land development regulations (zoning code), General Plan policies and building and planning procedures for compliance with fair housing law during the update of the Mono General Plan Land Use Element. Where necessary, the regulations, policies, or procedures were amended to ensure compliance. The Community Development Director also has the discretion to provide some flexibility in adjusting development standards to accommodate special situations. </w:t>
      </w:r>
    </w:p>
    <w:p w14:paraId="1FACA797" w14:textId="77777777" w:rsidR="004332D4" w:rsidRPr="00BA6536" w:rsidRDefault="004332D4" w:rsidP="004332D4">
      <w:pPr>
        <w:spacing w:after="0" w:line="280" w:lineRule="atLeast"/>
        <w:jc w:val="both"/>
        <w:rPr>
          <w:rFonts w:eastAsia="Times New Roman" w:cs="Times New Roman"/>
        </w:rPr>
      </w:pPr>
    </w:p>
    <w:p w14:paraId="3DA60F71" w14:textId="77777777"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 xml:space="preserve">The County continues to strongly advocate that Caltrans include ADA improvements in Caltrans projects (e.g., ADA standard sidewalk improvements, crosswalks, etc.) along state highways that serve as main streets through communities and that provide access to housing. </w:t>
      </w:r>
    </w:p>
    <w:p w14:paraId="26AB35BF" w14:textId="77777777" w:rsidR="004332D4" w:rsidRPr="00BA6536" w:rsidRDefault="004332D4" w:rsidP="004332D4">
      <w:pPr>
        <w:spacing w:after="0" w:line="280" w:lineRule="atLeast"/>
        <w:jc w:val="both"/>
        <w:rPr>
          <w:rFonts w:eastAsia="Times New Roman" w:cs="Times New Roman"/>
        </w:rPr>
      </w:pPr>
    </w:p>
    <w:p w14:paraId="1139B61C" w14:textId="77777777"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The County provides information about requesting a reasonable accommodation with regard to development standards, permit processing, and/or building regulations and processes through a variety of formats. Information is available online at the Mono County Government website (</w:t>
      </w:r>
      <w:r w:rsidRPr="00BA6536">
        <w:rPr>
          <w:rFonts w:eastAsia="Times New Roman" w:cs="Times New Roman"/>
          <w:u w:val="single"/>
        </w:rPr>
        <w:t>www.monoCounty.ca.gov</w:t>
      </w:r>
      <w:r w:rsidRPr="00BA6536">
        <w:rPr>
          <w:rFonts w:eastAsia="Times New Roman" w:cs="Times New Roman"/>
        </w:rPr>
        <w:t>) and at permit counters at the County offices in Bridgeport and Mammoth Lakes. The County also provides free consultations with building, planning and compliance staff regarding requests for reasonable accommodation. The County also provides information on funding programs for home retrofits administered by IMACA.</w:t>
      </w:r>
    </w:p>
    <w:p w14:paraId="6E0BFBDA" w14:textId="77777777" w:rsidR="004332D4" w:rsidRPr="00BA6536" w:rsidRDefault="004332D4" w:rsidP="004332D4">
      <w:pPr>
        <w:spacing w:after="0" w:line="280" w:lineRule="atLeast"/>
        <w:jc w:val="both"/>
        <w:rPr>
          <w:rFonts w:eastAsia="Times New Roman" w:cs="Times New Roman"/>
        </w:rPr>
      </w:pPr>
    </w:p>
    <w:p w14:paraId="5CC9D66D" w14:textId="77777777" w:rsidR="004332D4" w:rsidRPr="00BA6536" w:rsidRDefault="004332D4" w:rsidP="004332D4">
      <w:pPr>
        <w:spacing w:after="0" w:line="280" w:lineRule="atLeast"/>
        <w:jc w:val="both"/>
        <w:rPr>
          <w:rFonts w:eastAsia="Times New Roman" w:cs="Times New Roman"/>
        </w:rPr>
      </w:pPr>
      <w:r w:rsidRPr="00BA6536">
        <w:rPr>
          <w:rFonts w:eastAsia="Times New Roman" w:cs="Times New Roman"/>
        </w:rPr>
        <w:t>Mono County allows group homes consistent with state law. The County, however, has no existing group homes and has had no applications for group homes. Due to the limited number of disabled persons in the County and the physical distance between communities, assistance for disabled persons usually occurs on an individual basis.</w:t>
      </w:r>
    </w:p>
    <w:p w14:paraId="4633F3BB" w14:textId="77777777" w:rsidR="00A51DD7" w:rsidRPr="00BA6536" w:rsidRDefault="00A51DD7" w:rsidP="004332D4">
      <w:pPr>
        <w:spacing w:after="0" w:line="280" w:lineRule="atLeast"/>
        <w:jc w:val="both"/>
        <w:rPr>
          <w:rFonts w:eastAsia="Times New Roman" w:cs="Times New Roman"/>
        </w:rPr>
      </w:pPr>
    </w:p>
    <w:p w14:paraId="521A287F" w14:textId="77777777" w:rsidR="004332D4" w:rsidRPr="00BA6536" w:rsidRDefault="002E1FEA" w:rsidP="00D50649">
      <w:pPr>
        <w:pStyle w:val="Heading4"/>
      </w:pPr>
      <w:bookmarkStart w:id="329" w:name="_Toc383700148"/>
      <w:r>
        <w:t xml:space="preserve">j. </w:t>
      </w:r>
      <w:r w:rsidR="008D49AF" w:rsidRPr="00BA6536">
        <w:t>ZONING AND LANDUSE</w:t>
      </w:r>
      <w:bookmarkEnd w:id="329"/>
    </w:p>
    <w:p w14:paraId="509068A0"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County reviewed all its land development regulations (zoning code), General Plan policies and building and planning procedures for compliance with fair housing law during the update of the Mono County General Plan Land Use Element. Where necessary, the regulations, policies, or procedures were amended to ensure compliance.</w:t>
      </w:r>
    </w:p>
    <w:p w14:paraId="4F0AAFD2" w14:textId="77777777" w:rsidR="008D49AF" w:rsidRPr="00BA6536" w:rsidRDefault="008D49AF" w:rsidP="008D49AF">
      <w:pPr>
        <w:spacing w:after="0" w:line="280" w:lineRule="atLeast"/>
        <w:jc w:val="both"/>
        <w:rPr>
          <w:rFonts w:eastAsia="Times New Roman" w:cs="Times New Roman"/>
        </w:rPr>
      </w:pPr>
    </w:p>
    <w:p w14:paraId="6807E221"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Mono County Land Development Parking Regulations provide specific parking standards for persons with disabilities in compliance with state and federal ADA requirements. The County's parking regulations also allow for a reduction in the parking requirements for special needs housing if a project proponent can demonstrate a reduced need for parking.</w:t>
      </w:r>
    </w:p>
    <w:p w14:paraId="117AF9D6" w14:textId="77777777" w:rsidR="008D49AF" w:rsidRPr="00BA6536" w:rsidRDefault="008D49AF" w:rsidP="008D49AF">
      <w:pPr>
        <w:spacing w:after="0" w:line="280" w:lineRule="atLeast"/>
        <w:jc w:val="both"/>
        <w:rPr>
          <w:rFonts w:eastAsia="Times New Roman" w:cs="Times New Roman"/>
        </w:rPr>
      </w:pPr>
    </w:p>
    <w:p w14:paraId="35CF4529"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Mono County does not restrict the siting of group homes.</w:t>
      </w:r>
    </w:p>
    <w:p w14:paraId="6B9CF522" w14:textId="77777777" w:rsidR="008D49AF" w:rsidRPr="00BA6536" w:rsidRDefault="008D49AF" w:rsidP="008D49AF">
      <w:pPr>
        <w:spacing w:after="0" w:line="280" w:lineRule="atLeast"/>
        <w:jc w:val="both"/>
        <w:rPr>
          <w:rFonts w:eastAsia="Times New Roman" w:cs="Times New Roman"/>
        </w:rPr>
      </w:pPr>
    </w:p>
    <w:p w14:paraId="7F74FEE0"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All land use designations that allow residential development also allow group homes. Mono County has no additional regulations regarding group homes.</w:t>
      </w:r>
    </w:p>
    <w:p w14:paraId="4662DC5F"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Mono County Land Development Regulations do not have occupancy standards that apply specifically to unrelated adults and not to families.</w:t>
      </w:r>
    </w:p>
    <w:p w14:paraId="59AD123C" w14:textId="77777777" w:rsidR="008D49AF" w:rsidRPr="00BA6536" w:rsidRDefault="008D49AF" w:rsidP="008D49AF">
      <w:pPr>
        <w:spacing w:after="0" w:line="280" w:lineRule="atLeast"/>
        <w:jc w:val="both"/>
        <w:rPr>
          <w:rFonts w:eastAsia="Times New Roman" w:cs="Times New Roman"/>
        </w:rPr>
      </w:pPr>
    </w:p>
    <w:p w14:paraId="5FA16CF3"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Mono County Land Use Element does not regulate the siting of special needs housing in relationship to one another; there are no minimum distance requirements between special needs housing units.</w:t>
      </w:r>
    </w:p>
    <w:p w14:paraId="4EDD885C" w14:textId="77777777" w:rsidR="008D49AF" w:rsidRPr="00BA6536" w:rsidRDefault="008D49AF" w:rsidP="008D49AF">
      <w:pPr>
        <w:spacing w:after="0" w:line="280" w:lineRule="atLeast"/>
        <w:jc w:val="both"/>
        <w:rPr>
          <w:rFonts w:eastAsia="Times New Roman" w:cs="Times New Roman"/>
        </w:rPr>
      </w:pPr>
    </w:p>
    <w:p w14:paraId="23C50259" w14:textId="77777777" w:rsidR="004332D4" w:rsidRPr="00BA6536" w:rsidRDefault="008D49AF" w:rsidP="008D49AF">
      <w:pPr>
        <w:spacing w:after="0" w:line="280" w:lineRule="atLeast"/>
        <w:jc w:val="both"/>
        <w:rPr>
          <w:rFonts w:eastAsia="Times New Roman" w:cs="Times New Roman"/>
        </w:rPr>
      </w:pPr>
      <w:r w:rsidRPr="00BA6536">
        <w:rPr>
          <w:rFonts w:eastAsia="Times New Roman" w:cs="Times New Roman"/>
        </w:rPr>
        <w:t>The County implements and monitors Title 24 of the California Code of Regulations that requires access and adaptability for persons with disabilities. These regulations apply to new construction of multifamily units in buildings with three or more units.</w:t>
      </w:r>
    </w:p>
    <w:p w14:paraId="57F7CA66" w14:textId="77777777" w:rsidR="008D49AF" w:rsidRPr="00BA6536" w:rsidRDefault="008D49AF" w:rsidP="008D49AF">
      <w:pPr>
        <w:spacing w:after="0" w:line="280" w:lineRule="atLeast"/>
        <w:jc w:val="both"/>
        <w:rPr>
          <w:rFonts w:eastAsia="Times New Roman" w:cs="Times New Roman"/>
        </w:rPr>
      </w:pPr>
    </w:p>
    <w:p w14:paraId="581CA27D" w14:textId="77777777" w:rsidR="008D49AF" w:rsidRPr="00BA6536" w:rsidRDefault="002E1FEA" w:rsidP="00D50649">
      <w:pPr>
        <w:pStyle w:val="Heading4"/>
      </w:pPr>
      <w:bookmarkStart w:id="330" w:name="_Toc383700149"/>
      <w:r>
        <w:t xml:space="preserve">k. </w:t>
      </w:r>
      <w:r w:rsidR="008D49AF" w:rsidRPr="00BA6536">
        <w:t>PERMITS AND PROCESSING</w:t>
      </w:r>
      <w:bookmarkEnd w:id="330"/>
    </w:p>
    <w:p w14:paraId="5D9283C7"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As mentioned previously, regional social service agencies (Mono County Social Services, IMACA, IMAAA, Kern Regional Center) work with low-income, disabled, and senior clients on an individual basis to retrofit their homes with ramps and other assistive devices. These projects at the most will require a building permit from the County. At the time of a request to retrofit a home for accessibility, the County provides consultation on building code requirements, information/handouts concerning the building permit process, and flexibility in interpreting building code requirements when necessary.</w:t>
      </w:r>
    </w:p>
    <w:p w14:paraId="58D6587C" w14:textId="77777777" w:rsidR="008D49AF" w:rsidRPr="00BA6536" w:rsidRDefault="008D49AF" w:rsidP="008D49AF">
      <w:pPr>
        <w:spacing w:after="0" w:line="280" w:lineRule="atLeast"/>
        <w:jc w:val="both"/>
        <w:rPr>
          <w:rFonts w:eastAsia="Times New Roman" w:cs="Times New Roman"/>
        </w:rPr>
      </w:pPr>
    </w:p>
    <w:p w14:paraId="320D7C2B"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 xml:space="preserve">Mono County allows group homes with fewer than six persons </w:t>
      </w:r>
      <w:r w:rsidRPr="00BA6536">
        <w:rPr>
          <w:rFonts w:eastAsia="Times New Roman" w:cs="Times New Roman"/>
          <w:u w:val="single"/>
        </w:rPr>
        <w:t>by right</w:t>
      </w:r>
      <w:r w:rsidRPr="00BA6536">
        <w:rPr>
          <w:rFonts w:eastAsia="Times New Roman" w:cs="Times New Roman"/>
        </w:rPr>
        <w:t xml:space="preserve"> in single-family residential zones; they are treated as common single-family residences. A group home with fewer than six persons would require a building permit and, in some circumstances, a ministerial Director Review permit.</w:t>
      </w:r>
    </w:p>
    <w:p w14:paraId="4A613F68" w14:textId="77777777" w:rsidR="008D49AF" w:rsidRPr="00BA6536" w:rsidRDefault="008D49AF" w:rsidP="008D49AF">
      <w:pPr>
        <w:spacing w:after="0" w:line="280" w:lineRule="atLeast"/>
        <w:jc w:val="both"/>
        <w:rPr>
          <w:rFonts w:eastAsia="Times New Roman" w:cs="Times New Roman"/>
        </w:rPr>
      </w:pPr>
    </w:p>
    <w:p w14:paraId="0FCA650E"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Mono County has no conditions or use restrictions for group homes with greater than six persons.</w:t>
      </w:r>
    </w:p>
    <w:p w14:paraId="62938F9E" w14:textId="77777777" w:rsidR="008D49AF" w:rsidRPr="00BA6536" w:rsidRDefault="008D49AF" w:rsidP="008D49AF">
      <w:pPr>
        <w:spacing w:after="0" w:line="280" w:lineRule="atLeast"/>
        <w:jc w:val="both"/>
        <w:rPr>
          <w:rFonts w:eastAsia="Times New Roman" w:cs="Times New Roman"/>
        </w:rPr>
      </w:pPr>
    </w:p>
    <w:p w14:paraId="51F98FD1"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County does not allow any community input for the approval of group homes other than general policy discussions at Regional Planning Advisory Committee meetings. This is no different than other types of residential development.</w:t>
      </w:r>
    </w:p>
    <w:p w14:paraId="6E0F2295" w14:textId="77777777" w:rsidR="008D49AF" w:rsidRPr="00BA6536" w:rsidRDefault="008D49AF" w:rsidP="008D49AF">
      <w:pPr>
        <w:spacing w:after="0" w:line="280" w:lineRule="atLeast"/>
        <w:jc w:val="both"/>
        <w:rPr>
          <w:rFonts w:eastAsia="Times New Roman" w:cs="Times New Roman"/>
        </w:rPr>
      </w:pPr>
    </w:p>
    <w:p w14:paraId="55AEB047" w14:textId="77777777" w:rsidR="008D49AF" w:rsidRPr="00BA6536" w:rsidRDefault="008D49AF" w:rsidP="008D49AF">
      <w:pPr>
        <w:spacing w:after="0" w:line="280" w:lineRule="atLeast"/>
        <w:jc w:val="both"/>
        <w:rPr>
          <w:rFonts w:eastAsia="Times New Roman" w:cs="Times New Roman"/>
        </w:rPr>
      </w:pPr>
      <w:r w:rsidRPr="00BA6536">
        <w:rPr>
          <w:rFonts w:eastAsia="Times New Roman" w:cs="Times New Roman"/>
        </w:rPr>
        <w:t>The County has no specific conditions that address group homes that will be providing services on-site. However, depending on the nature of those services, specific conditions from the County's Land Development Regulations may apply (e.g., parking requirements). These conditions would be subject to discretionary interpretation as discussed previously and would not affect the development or conversion of residences to meet the needs of persons with disabilities.</w:t>
      </w:r>
    </w:p>
    <w:p w14:paraId="29AD8144" w14:textId="77777777" w:rsidR="008D49AF" w:rsidRPr="00BA6536" w:rsidRDefault="008D49AF" w:rsidP="00D50649">
      <w:pPr>
        <w:pStyle w:val="Heading4"/>
        <w:rPr>
          <w:rFonts w:eastAsia="Times New Roman" w:cs="Times New Roman"/>
        </w:rPr>
      </w:pPr>
    </w:p>
    <w:p w14:paraId="0044CFA5" w14:textId="77777777" w:rsidR="008D49AF" w:rsidRPr="00BA6536" w:rsidRDefault="002E1FEA" w:rsidP="00D50649">
      <w:pPr>
        <w:pStyle w:val="Heading4"/>
      </w:pPr>
      <w:bookmarkStart w:id="331" w:name="_Toc383700150"/>
      <w:r>
        <w:t xml:space="preserve">l. </w:t>
      </w:r>
      <w:r w:rsidR="008D49AF" w:rsidRPr="00BA6536">
        <w:t>BUILDING CODES</w:t>
      </w:r>
      <w:bookmarkEnd w:id="331"/>
    </w:p>
    <w:p w14:paraId="6ADE9A6C" w14:textId="77777777" w:rsidR="001D60B9" w:rsidRPr="00BA6536" w:rsidRDefault="001D60B9" w:rsidP="001D60B9">
      <w:pPr>
        <w:spacing w:after="0" w:line="280" w:lineRule="atLeast"/>
        <w:rPr>
          <w:rFonts w:eastAsia="Times New Roman" w:cs="Times New Roman"/>
        </w:rPr>
      </w:pPr>
      <w:r w:rsidRPr="00BA6536">
        <w:rPr>
          <w:rFonts w:eastAsia="Times New Roman" w:cs="Times New Roman"/>
        </w:rPr>
        <w:t>Mono County adopts the most current version of the Uniform Building Code. The County has made no amendments to the UBC that would diminish the County's ability to accommodate persons with disabilities.</w:t>
      </w:r>
    </w:p>
    <w:p w14:paraId="78D704E3" w14:textId="77777777" w:rsidR="001D60B9" w:rsidRPr="00BA6536" w:rsidRDefault="001D60B9" w:rsidP="001D60B9">
      <w:pPr>
        <w:spacing w:after="0" w:line="280" w:lineRule="atLeast"/>
        <w:rPr>
          <w:rFonts w:eastAsia="Times New Roman" w:cs="Times New Roman"/>
        </w:rPr>
      </w:pPr>
    </w:p>
    <w:p w14:paraId="6BE37704" w14:textId="77777777" w:rsidR="001D60B9" w:rsidRPr="00BA6536" w:rsidRDefault="001D60B9" w:rsidP="001D60B9">
      <w:pPr>
        <w:spacing w:after="0" w:line="280" w:lineRule="atLeast"/>
        <w:rPr>
          <w:rFonts w:eastAsia="Times New Roman" w:cs="Times New Roman"/>
        </w:rPr>
      </w:pPr>
      <w:r w:rsidRPr="00BA6536">
        <w:rPr>
          <w:rFonts w:eastAsia="Times New Roman" w:cs="Times New Roman"/>
        </w:rPr>
        <w:t>The County has not adopted any universal design elements in the building code other than those related to snow loads and climatic conditions.</w:t>
      </w:r>
    </w:p>
    <w:p w14:paraId="1059CCB7" w14:textId="77777777" w:rsidR="001D60B9" w:rsidRPr="00BA6536" w:rsidRDefault="001D60B9" w:rsidP="001D60B9">
      <w:pPr>
        <w:spacing w:after="0" w:line="280" w:lineRule="atLeast"/>
        <w:rPr>
          <w:rFonts w:eastAsia="Times New Roman" w:cs="Times New Roman"/>
        </w:rPr>
      </w:pPr>
    </w:p>
    <w:p w14:paraId="600F507C" w14:textId="77777777" w:rsidR="001D60B9" w:rsidRPr="00BA6536" w:rsidRDefault="001D60B9" w:rsidP="001D60B9">
      <w:pPr>
        <w:spacing w:after="0" w:line="280" w:lineRule="atLeast"/>
        <w:rPr>
          <w:rFonts w:eastAsia="Times New Roman" w:cs="Times New Roman"/>
        </w:rPr>
      </w:pPr>
      <w:r w:rsidRPr="00BA6536">
        <w:rPr>
          <w:rFonts w:eastAsia="Times New Roman" w:cs="Times New Roman"/>
        </w:rPr>
        <w:t>The County provides reasonable accommodation for persons with disabilities in the enforcement of building codes and the issuance of building permits (see prior discussion).</w:t>
      </w:r>
    </w:p>
    <w:p w14:paraId="468F943E" w14:textId="77777777" w:rsidR="001D60B9" w:rsidRPr="00BA6536" w:rsidRDefault="001D60B9" w:rsidP="008D49AF">
      <w:pPr>
        <w:spacing w:after="0" w:line="280" w:lineRule="atLeast"/>
        <w:jc w:val="both"/>
        <w:rPr>
          <w:rFonts w:eastAsia="Times New Roman" w:cs="Times New Roman"/>
        </w:rPr>
      </w:pPr>
    </w:p>
    <w:p w14:paraId="0D36D748" w14:textId="77777777" w:rsidR="008D49AF" w:rsidRPr="00BA6536" w:rsidRDefault="008D49AF" w:rsidP="008D49AF">
      <w:pPr>
        <w:spacing w:after="0" w:line="280" w:lineRule="atLeast"/>
        <w:jc w:val="both"/>
        <w:rPr>
          <w:rFonts w:eastAsia="Times New Roman" w:cs="Times New Roman"/>
        </w:rPr>
      </w:pPr>
    </w:p>
    <w:p w14:paraId="0BEDA6F2" w14:textId="77777777" w:rsidR="008D49AF" w:rsidRPr="00BA6536" w:rsidRDefault="002E1FEA" w:rsidP="003D5E81">
      <w:pPr>
        <w:pStyle w:val="Heading2"/>
        <w:rPr>
          <w:rFonts w:eastAsia="Times New Roman" w:cs="Times New Roman"/>
          <w:color w:val="auto"/>
        </w:rPr>
      </w:pPr>
      <w:bookmarkStart w:id="332" w:name="_Toc383700151"/>
      <w:r>
        <w:rPr>
          <w:rFonts w:eastAsia="Times New Roman" w:cs="Times New Roman"/>
          <w:color w:val="auto"/>
        </w:rPr>
        <w:t xml:space="preserve">C. </w:t>
      </w:r>
      <w:r w:rsidR="001D60B9" w:rsidRPr="00BA6536">
        <w:rPr>
          <w:rFonts w:eastAsia="Times New Roman" w:cs="Times New Roman"/>
          <w:color w:val="auto"/>
        </w:rPr>
        <w:t>NON-GOVERNMENTAL CONSTRAINTS</w:t>
      </w:r>
      <w:bookmarkEnd w:id="332"/>
    </w:p>
    <w:p w14:paraId="372A57D3" w14:textId="77777777" w:rsidR="00B80A5B" w:rsidRPr="00BA6536" w:rsidRDefault="00B80A5B" w:rsidP="00B80A5B">
      <w:pPr>
        <w:spacing w:after="0" w:line="280" w:lineRule="atLeast"/>
        <w:jc w:val="both"/>
        <w:rPr>
          <w:rFonts w:eastAsia="Times New Roman" w:cs="Times New Roman"/>
        </w:rPr>
      </w:pPr>
    </w:p>
    <w:p w14:paraId="6E77FF2F"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 availability and cost of housing is influenced by market factors over which the County has no control. Land costs, site development/construction costs, and the availability of financing affect housing development and cannot be greatly lessened by the County.</w:t>
      </w:r>
    </w:p>
    <w:p w14:paraId="0C859D7F" w14:textId="77777777" w:rsidR="001D60B9" w:rsidRPr="00BA6536" w:rsidRDefault="001D60B9" w:rsidP="001D60B9">
      <w:pPr>
        <w:spacing w:after="0" w:line="280" w:lineRule="atLeast"/>
        <w:jc w:val="both"/>
        <w:rPr>
          <w:rFonts w:ascii="Tahoma" w:eastAsia="Times New Roman" w:hAnsi="Tahoma" w:cs="Times New Roman"/>
          <w:b/>
          <w:sz w:val="28"/>
          <w:szCs w:val="20"/>
        </w:rPr>
      </w:pPr>
    </w:p>
    <w:p w14:paraId="7CF7C881" w14:textId="77777777" w:rsidR="001D60B9" w:rsidRPr="00BA6536" w:rsidRDefault="002E1FEA" w:rsidP="003D5E81">
      <w:pPr>
        <w:pStyle w:val="Heading3"/>
      </w:pPr>
      <w:bookmarkStart w:id="333" w:name="_Toc383700152"/>
      <w:r>
        <w:t xml:space="preserve">a. </w:t>
      </w:r>
      <w:r w:rsidR="001D60B9" w:rsidRPr="00BA6536">
        <w:t>LAND COSTS</w:t>
      </w:r>
      <w:bookmarkEnd w:id="333"/>
      <w:r w:rsidR="001D60B9" w:rsidRPr="00BA6536">
        <w:fldChar w:fldCharType="begin"/>
      </w:r>
      <w:r w:rsidR="001D60B9" w:rsidRPr="00BA6536">
        <w:instrText xml:space="preserve"> TC"</w:instrText>
      </w:r>
      <w:bookmarkStart w:id="334" w:name="_Toc53806479"/>
      <w:bookmarkStart w:id="335" w:name="_Toc66156069"/>
      <w:bookmarkStart w:id="336" w:name="_Toc76443992"/>
      <w:bookmarkStart w:id="337" w:name="_Toc123887132"/>
      <w:r w:rsidR="001D60B9" w:rsidRPr="00BA6536">
        <w:instrText>Land Costs</w:instrText>
      </w:r>
      <w:bookmarkEnd w:id="334"/>
      <w:bookmarkEnd w:id="335"/>
      <w:bookmarkEnd w:id="336"/>
      <w:bookmarkEnd w:id="337"/>
      <w:r w:rsidR="001D60B9" w:rsidRPr="00BA6536">
        <w:instrText xml:space="preserve">"\l 3 </w:instrText>
      </w:r>
      <w:r w:rsidR="001D60B9" w:rsidRPr="00BA6536">
        <w:fldChar w:fldCharType="end"/>
      </w:r>
    </w:p>
    <w:p w14:paraId="48D405FB"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There is no one average cost per acre for land in Mono County because the demand for land and the type of lot/site available vary greatly throughout the County. Costs for vacant land may also vary depending on whether community utilities are available to the site and whether infrastructure (access roads, utility lines) is installed on site. Recent sales activity for lots has been sparse; the following estimates of land costs are based on sales data from 2008 through 2013 of all vacant land provided by the Mono County Assessors Office.  Generally, in areas with few undeveloped parcels for sale, there are many houses for sales, including mobile homes.  Land costs, along with housing costs, have decreased significantly in the last several years.</w:t>
      </w:r>
    </w:p>
    <w:p w14:paraId="08F6579D" w14:textId="77777777" w:rsidR="001D60B9" w:rsidRPr="00BA6536" w:rsidRDefault="001D60B9" w:rsidP="001D60B9">
      <w:pPr>
        <w:spacing w:after="0" w:line="280" w:lineRule="atLeast"/>
        <w:jc w:val="both"/>
        <w:rPr>
          <w:rFonts w:eastAsia="Times New Roman" w:cs="Times New Roman"/>
        </w:rPr>
      </w:pPr>
    </w:p>
    <w:p w14:paraId="6D8BC4F3"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Antelope Valley </w:t>
      </w:r>
    </w:p>
    <w:p w14:paraId="260F90D8"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Undeveloped land available in the Antelope Valley is predominantly large-lot residential parcels over one acre in size. There are also some parcels over 10 acres in size. The average price per acre was $20,819. There are a few parcels for sale each year; the majority of them are usually in Walker.</w:t>
      </w:r>
    </w:p>
    <w:p w14:paraId="3E347DF8" w14:textId="77777777" w:rsidR="001D60B9" w:rsidRPr="00BA6536" w:rsidRDefault="001D60B9" w:rsidP="001D60B9">
      <w:pPr>
        <w:spacing w:after="0" w:line="280" w:lineRule="atLeast"/>
        <w:jc w:val="both"/>
        <w:rPr>
          <w:rFonts w:eastAsia="Times New Roman" w:cs="Times New Roman"/>
        </w:rPr>
      </w:pPr>
    </w:p>
    <w:p w14:paraId="7ED16237"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Bridgeport Valley</w:t>
      </w:r>
    </w:p>
    <w:p w14:paraId="41B1D0FD"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Undeveloped land available in the Bridgeport Valley ranges from small town lots (0.55 to 1 acres) to multiple-acre parcels (approximately 40 acres) to large agriculturally zoned parcels (240 to 320 acres). The average price per acre was $185,548. </w:t>
      </w:r>
    </w:p>
    <w:p w14:paraId="5DAB613C" w14:textId="77777777" w:rsidR="001D60B9" w:rsidRPr="00BA6536" w:rsidRDefault="001D60B9" w:rsidP="001D60B9">
      <w:pPr>
        <w:spacing w:after="0" w:line="280" w:lineRule="atLeast"/>
        <w:jc w:val="both"/>
        <w:rPr>
          <w:rFonts w:eastAsia="Times New Roman" w:cs="Times New Roman"/>
        </w:rPr>
      </w:pPr>
    </w:p>
    <w:p w14:paraId="12BE2725"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Basin</w:t>
      </w:r>
    </w:p>
    <w:p w14:paraId="23F082F2"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Undeveloped land available in the Mono Basin ranges from small lots (0.25 to 0.73 acres) to multiple-acre parcels (20 to 120 acres). The average price per acre was $175,769</w:t>
      </w:r>
    </w:p>
    <w:p w14:paraId="5CDC42D9" w14:textId="77777777" w:rsidR="001D60B9" w:rsidRPr="00BA6536" w:rsidRDefault="001D60B9" w:rsidP="001D60B9">
      <w:pPr>
        <w:spacing w:after="0" w:line="280" w:lineRule="atLeast"/>
        <w:jc w:val="both"/>
        <w:rPr>
          <w:rFonts w:eastAsia="Times New Roman" w:cs="Times New Roman"/>
        </w:rPr>
      </w:pPr>
    </w:p>
    <w:p w14:paraId="08FD5CDF"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June Lake</w:t>
      </w:r>
    </w:p>
    <w:p w14:paraId="7AE088E9"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Undeveloped land available in June Lake is predominantly lots under one acre in size, with many of the lots being small town lots under one-quarter acre in size.  The average price per acre was $601,119. </w:t>
      </w:r>
    </w:p>
    <w:p w14:paraId="12F151CD"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br w:type="page"/>
        <w:t>Long Valley/Wheeler Crest</w:t>
      </w:r>
    </w:p>
    <w:p w14:paraId="4EDBE264"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Undeveloped land available in Long Valley/Wheeler Crest varies widely, ranging from 0.5 to 2 acres in size with very few larger parcels ranging from 10 to 30 acres in size. Average costs in the Wheeler Crest area (Swall Meadows, Hilltop Ranch, Rimrock Ranch, or Pinon Ranch) was $93,709 per acre.  Average costs in Long Valley (Sunny Slopes  Crowley) was $132,000 per acre.</w:t>
      </w:r>
    </w:p>
    <w:p w14:paraId="6488E3A7" w14:textId="77777777" w:rsidR="001D60B9" w:rsidRPr="00BA6536" w:rsidRDefault="001D60B9" w:rsidP="001D60B9">
      <w:pPr>
        <w:spacing w:after="0" w:line="280" w:lineRule="atLeast"/>
        <w:jc w:val="both"/>
        <w:rPr>
          <w:rFonts w:eastAsia="Times New Roman" w:cs="Times New Roman"/>
        </w:rPr>
      </w:pPr>
    </w:p>
    <w:p w14:paraId="729268E3"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Tri-Valley</w:t>
      </w:r>
    </w:p>
    <w:p w14:paraId="75CEC9E4"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Undeveloped land available in the Tri-Valley is predominantly large parcels ranging in size from 10-acre residential parcels to agriculturally zoned parcels (694 acres).  The average price per acre in the Tri-Valley was $49,008.</w:t>
      </w:r>
    </w:p>
    <w:p w14:paraId="192432BB" w14:textId="77777777" w:rsidR="001D60B9" w:rsidRPr="00BA6536" w:rsidRDefault="001D60B9" w:rsidP="001D60B9">
      <w:pPr>
        <w:spacing w:after="0" w:line="280" w:lineRule="atLeast"/>
        <w:jc w:val="both"/>
        <w:rPr>
          <w:rFonts w:eastAsia="Times New Roman" w:cs="Times New Roman"/>
        </w:rPr>
      </w:pPr>
    </w:p>
    <w:p w14:paraId="1CBAF000"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CONSTRUCTION COSTS</w:t>
      </w:r>
      <w:r w:rsidRPr="00BA6536">
        <w:rPr>
          <w:rFonts w:eastAsia="Times New Roman" w:cs="Times New Roman"/>
        </w:rPr>
        <w:fldChar w:fldCharType="begin"/>
      </w:r>
      <w:r w:rsidRPr="00BA6536">
        <w:rPr>
          <w:rFonts w:eastAsia="Times New Roman" w:cs="Times New Roman"/>
        </w:rPr>
        <w:instrText xml:space="preserve"> TC"</w:instrText>
      </w:r>
      <w:bookmarkStart w:id="338" w:name="_Toc53806480"/>
      <w:bookmarkStart w:id="339" w:name="_Toc66156070"/>
      <w:bookmarkStart w:id="340" w:name="_Toc76443993"/>
      <w:bookmarkStart w:id="341" w:name="_Toc123887133"/>
      <w:r w:rsidRPr="00BA6536">
        <w:rPr>
          <w:rFonts w:eastAsia="Times New Roman" w:cs="Times New Roman"/>
        </w:rPr>
        <w:instrText>Construction Costs</w:instrText>
      </w:r>
      <w:bookmarkEnd w:id="338"/>
      <w:bookmarkEnd w:id="339"/>
      <w:bookmarkEnd w:id="340"/>
      <w:bookmarkEnd w:id="341"/>
      <w:r w:rsidRPr="00BA6536">
        <w:rPr>
          <w:rFonts w:eastAsia="Times New Roman" w:cs="Times New Roman"/>
        </w:rPr>
        <w:instrText xml:space="preserve">"\l 3 </w:instrText>
      </w:r>
      <w:r w:rsidRPr="00BA6536">
        <w:rPr>
          <w:rFonts w:eastAsia="Times New Roman" w:cs="Times New Roman"/>
        </w:rPr>
        <w:fldChar w:fldCharType="end"/>
      </w:r>
    </w:p>
    <w:p w14:paraId="4A95EF17"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Construction costs are estimated to range from $150 to $250 per square foot for single-family residential construction in the unincorporated area of Mono County (Tom Perry, Mono County Building Official). These costs include land, fees, materials, labor and financing. Due to the wide range of land costs, fees and development requirements throughout the County, it is very difficult to estimate a "typical" total development cost for single-family residential development.</w:t>
      </w:r>
    </w:p>
    <w:p w14:paraId="75021CF2" w14:textId="77777777" w:rsidR="001D60B9" w:rsidRPr="00BA6536" w:rsidRDefault="001D60B9" w:rsidP="001D60B9">
      <w:pPr>
        <w:spacing w:after="0" w:line="280" w:lineRule="atLeast"/>
        <w:jc w:val="both"/>
        <w:rPr>
          <w:rFonts w:eastAsia="Times New Roman" w:cs="Times New Roman"/>
        </w:rPr>
      </w:pPr>
    </w:p>
    <w:p w14:paraId="6D1D56B7" w14:textId="77777777" w:rsidR="001D60B9" w:rsidRPr="00BA6536" w:rsidRDefault="002E1FEA" w:rsidP="003D5E81">
      <w:pPr>
        <w:pStyle w:val="Heading3"/>
      </w:pPr>
      <w:bookmarkStart w:id="342" w:name="_Toc383700153"/>
      <w:r>
        <w:t xml:space="preserve">b. </w:t>
      </w:r>
      <w:r w:rsidR="001D60B9" w:rsidRPr="00BA6536">
        <w:t>AVAILABILITY OF FINANCING</w:t>
      </w:r>
      <w:bookmarkEnd w:id="342"/>
      <w:r w:rsidR="001D60B9" w:rsidRPr="00BA6536">
        <w:fldChar w:fldCharType="begin"/>
      </w:r>
      <w:r w:rsidR="001D60B9" w:rsidRPr="00BA6536">
        <w:instrText xml:space="preserve"> TC"</w:instrText>
      </w:r>
      <w:bookmarkStart w:id="343" w:name="_Toc53806481"/>
      <w:bookmarkStart w:id="344" w:name="_Toc66156071"/>
      <w:bookmarkStart w:id="345" w:name="_Toc76443994"/>
      <w:bookmarkStart w:id="346" w:name="_Toc123887134"/>
      <w:r w:rsidR="001D60B9" w:rsidRPr="00BA6536">
        <w:instrText>Availability of Financing</w:instrText>
      </w:r>
      <w:bookmarkEnd w:id="343"/>
      <w:bookmarkEnd w:id="344"/>
      <w:bookmarkEnd w:id="345"/>
      <w:bookmarkEnd w:id="346"/>
      <w:r w:rsidR="001D60B9" w:rsidRPr="00BA6536">
        <w:instrText xml:space="preserve">"\l 3 </w:instrText>
      </w:r>
      <w:r w:rsidR="001D60B9" w:rsidRPr="00BA6536">
        <w:fldChar w:fldCharType="end"/>
      </w:r>
    </w:p>
    <w:p w14:paraId="19948C6A"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 cost of borrowing money to finance the construction of housing or to purchase a home has a large impact on the amount of housing constructed and purchased. Financing is now generally available to Mono County residents at historically low rates. Lower interest rates are making it feasible for households with more moderate incomes to construct or purchase homes.</w:t>
      </w:r>
    </w:p>
    <w:p w14:paraId="72DB8191" w14:textId="77777777" w:rsidR="001D60B9" w:rsidRPr="00BA6536" w:rsidRDefault="001D60B9" w:rsidP="001D60B9">
      <w:pPr>
        <w:spacing w:after="0" w:line="280" w:lineRule="atLeast"/>
        <w:jc w:val="both"/>
        <w:rPr>
          <w:rFonts w:eastAsia="Times New Roman" w:cs="Times New Roman"/>
        </w:rPr>
      </w:pPr>
    </w:p>
    <w:p w14:paraId="6A068751"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There are a number of government-assisted loan programs to enable low- and moderate-income households to construct or purchase housing. These programs are generally available to Mono County residents:</w:t>
      </w:r>
    </w:p>
    <w:p w14:paraId="17822125" w14:textId="77777777" w:rsidR="001D60B9" w:rsidRPr="00BA6536" w:rsidRDefault="001D60B9" w:rsidP="001D60B9">
      <w:pPr>
        <w:spacing w:after="0" w:line="280" w:lineRule="atLeast"/>
        <w:jc w:val="both"/>
        <w:rPr>
          <w:rFonts w:eastAsia="Times New Roman" w:cs="Times New Roman"/>
        </w:rPr>
      </w:pPr>
    </w:p>
    <w:p w14:paraId="763E3F70"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U.S. Department of Housing and Urban Development Federal Housing Administration (FHA) insured loans.</w:t>
      </w:r>
    </w:p>
    <w:p w14:paraId="4D1491F7"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This program generally has higher approval rates than conventional loans, particularly for lower- or moderate-income households. The FHA program helps low- and moderate-income families by lowering some of their mortgage loan costs. The property must meet certain minimum requirements for manufactured homes, single-family homes or multifamily homes.</w:t>
      </w:r>
    </w:p>
    <w:p w14:paraId="29308853" w14:textId="77777777" w:rsidR="001D60B9" w:rsidRPr="00BA6536" w:rsidRDefault="001D60B9" w:rsidP="001D60B9">
      <w:pPr>
        <w:spacing w:after="0" w:line="280" w:lineRule="atLeast"/>
        <w:jc w:val="both"/>
        <w:rPr>
          <w:rFonts w:eastAsia="Times New Roman" w:cs="Times New Roman"/>
        </w:rPr>
      </w:pPr>
    </w:p>
    <w:p w14:paraId="45EA9897"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br w:type="page"/>
        <w:t>U.S. Department of Agriculture's Rural Development Rural Housing Service programs.</w:t>
      </w:r>
    </w:p>
    <w:p w14:paraId="53ECBAC9"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 Rural Housing Service offers a variety of assistance programs to support low-income households purchasing homes in rural areas. Rural Housing Direct Loans are directly funded by the USDA and are available to low- and very low-income households to construct or purchase a home. Housing Guaranteed Loans are administered by a variety of entities and are available to moderate income households that could not obtain credit elsewhere.</w:t>
      </w:r>
    </w:p>
    <w:p w14:paraId="3BC69A5F" w14:textId="77777777" w:rsidR="001D60B9" w:rsidRPr="00BA6536" w:rsidRDefault="001D60B9" w:rsidP="001D60B9">
      <w:pPr>
        <w:spacing w:after="0" w:line="280" w:lineRule="atLeast"/>
        <w:jc w:val="both"/>
        <w:rPr>
          <w:rFonts w:eastAsia="Times New Roman" w:cs="Times New Roman"/>
        </w:rPr>
      </w:pPr>
    </w:p>
    <w:p w14:paraId="4D1CF0D3"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California Department of Housing and Community Development programs.</w:t>
      </w:r>
    </w:p>
    <w:p w14:paraId="6A4F9EF9"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CalHome Program provides grants to public agencies and nonprofit developers to assist individual households with deferred-payment loans and direct, forgivable loans to assist development projects involving multiple ownership units, including single-family subdivisions.</w:t>
      </w:r>
    </w:p>
    <w:p w14:paraId="0B92ABE0" w14:textId="77777777" w:rsidR="001D60B9" w:rsidRPr="00BA6536" w:rsidRDefault="001D60B9" w:rsidP="001D60B9">
      <w:pPr>
        <w:spacing w:after="0" w:line="280" w:lineRule="atLeast"/>
        <w:jc w:val="both"/>
        <w:rPr>
          <w:rFonts w:eastAsia="Times New Roman" w:cs="Times New Roman"/>
        </w:rPr>
      </w:pPr>
    </w:p>
    <w:p w14:paraId="14D855B1"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California Self-Help Housing Program provides grants to sponsor organizations that provide training and supervision of low- and moderate-income self-help homebuilders.</w:t>
      </w:r>
    </w:p>
    <w:p w14:paraId="4A5C2C4F" w14:textId="77777777" w:rsidR="001D60B9" w:rsidRPr="00BA6536" w:rsidRDefault="001D60B9" w:rsidP="001D60B9">
      <w:pPr>
        <w:spacing w:after="0" w:line="280" w:lineRule="atLeast"/>
        <w:jc w:val="both"/>
        <w:rPr>
          <w:rFonts w:eastAsia="Times New Roman" w:cs="Times New Roman"/>
        </w:rPr>
      </w:pPr>
    </w:p>
    <w:p w14:paraId="4D1CB7B4"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Community Development Block Grant (CDBG) programs.</w:t>
      </w:r>
    </w:p>
    <w:p w14:paraId="61C04889"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Programs administered by the state and federal housing departments that provide funding for housing activities, generally for lower-income households in rural areas. Housing activities may include single and multifamily rehabilitation, rental housing acquisition, homeownership assistance, activities that complement new construction, and housing planning activities.</w:t>
      </w:r>
    </w:p>
    <w:p w14:paraId="28AB88F0" w14:textId="77777777" w:rsidR="001D60B9" w:rsidRPr="00BA6536" w:rsidRDefault="001D60B9" w:rsidP="001D60B9">
      <w:pPr>
        <w:spacing w:after="0" w:line="280" w:lineRule="atLeast"/>
        <w:jc w:val="both"/>
        <w:rPr>
          <w:rFonts w:eastAsia="Times New Roman" w:cs="Times New Roman"/>
        </w:rPr>
      </w:pPr>
    </w:p>
    <w:p w14:paraId="57B11882"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Mammoth Lakes Housing, Inc (MLH).</w:t>
      </w:r>
    </w:p>
    <w:p w14:paraId="40060B58" w14:textId="77777777" w:rsidR="00833747" w:rsidRPr="00776763" w:rsidRDefault="001D60B9" w:rsidP="00833747">
      <w:r w:rsidRPr="00BA6536">
        <w:rPr>
          <w:rFonts w:eastAsia="Times New Roman" w:cs="TimesNewRomanPSMT"/>
          <w:lang w:bidi="en-US"/>
        </w:rPr>
        <w:t xml:space="preserve">Mammoth Lakes Housing, Inc. (MLH), in conjunction with Mono County, has homebuyer’s assistance funds available to households with an income at or below 80% Area Median Income (AMI). </w:t>
      </w:r>
      <w:r w:rsidR="00833747" w:rsidRPr="00776763">
        <w:t>For more detail on this program including eligibility requirements, please review the BOS adopted “County of Mono Homebuyer Program Guidelines”</w:t>
      </w:r>
    </w:p>
    <w:p w14:paraId="42EDF9D2" w14:textId="77777777" w:rsidR="001D60B9" w:rsidRPr="00BA6536" w:rsidRDefault="001D60B9" w:rsidP="001D60B9">
      <w:pPr>
        <w:widowControl w:val="0"/>
        <w:autoSpaceDE w:val="0"/>
        <w:autoSpaceDN w:val="0"/>
        <w:adjustRightInd w:val="0"/>
        <w:spacing w:after="0" w:line="280" w:lineRule="atLeast"/>
        <w:jc w:val="both"/>
        <w:rPr>
          <w:rFonts w:eastAsia="Times New Roman" w:cs="TimesNewRomanPSMT"/>
          <w:lang w:bidi="en-US"/>
        </w:rPr>
      </w:pPr>
    </w:p>
    <w:p w14:paraId="3E95D8BD" w14:textId="77777777" w:rsidR="001D60B9" w:rsidRPr="00BA6536" w:rsidRDefault="002E1FEA" w:rsidP="003D5E81">
      <w:pPr>
        <w:pStyle w:val="Heading3"/>
      </w:pPr>
      <w:bookmarkStart w:id="347" w:name="_Toc383700154"/>
      <w:r>
        <w:t xml:space="preserve">c. </w:t>
      </w:r>
      <w:r w:rsidR="001D60B9" w:rsidRPr="00BA6536">
        <w:t>UNITS AT RISK OF CONVERSION TO MARKET RATE USES</w:t>
      </w:r>
      <w:bookmarkEnd w:id="347"/>
      <w:r w:rsidR="001D60B9" w:rsidRPr="00BA6536">
        <w:fldChar w:fldCharType="begin"/>
      </w:r>
      <w:r w:rsidR="001D60B9" w:rsidRPr="00BA6536">
        <w:instrText xml:space="preserve"> TC"</w:instrText>
      </w:r>
      <w:bookmarkStart w:id="348" w:name="_Toc53806482"/>
      <w:bookmarkStart w:id="349" w:name="_Toc66156072"/>
      <w:bookmarkStart w:id="350" w:name="_Toc76443995"/>
      <w:bookmarkStart w:id="351" w:name="_Toc123887135"/>
      <w:r w:rsidR="001D60B9" w:rsidRPr="00BA6536">
        <w:instrText>Units at Risk of Conversion to Market Rate Uses</w:instrText>
      </w:r>
      <w:bookmarkEnd w:id="348"/>
      <w:bookmarkEnd w:id="349"/>
      <w:bookmarkEnd w:id="350"/>
      <w:bookmarkEnd w:id="351"/>
      <w:r w:rsidR="001D60B9" w:rsidRPr="00BA6536">
        <w:instrText xml:space="preserve">"\l 3 </w:instrText>
      </w:r>
      <w:r w:rsidR="001D60B9" w:rsidRPr="00BA6536">
        <w:fldChar w:fldCharType="end"/>
      </w:r>
    </w:p>
    <w:p w14:paraId="15A89045"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 does not have any multifamily rental housing that could be converted to market rate rents. The only "restricted" affordable housing units in the unincorporated area are the following:</w:t>
      </w:r>
    </w:p>
    <w:p w14:paraId="7EB37716" w14:textId="77777777" w:rsidR="001D60B9" w:rsidRPr="00BA6536" w:rsidRDefault="001D60B9" w:rsidP="001D60B9">
      <w:pPr>
        <w:spacing w:after="0" w:line="280" w:lineRule="atLeast"/>
        <w:jc w:val="both"/>
        <w:rPr>
          <w:rFonts w:eastAsia="Times New Roman" w:cs="Times New Roman"/>
        </w:rPr>
      </w:pPr>
    </w:p>
    <w:p w14:paraId="45EC86E5"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One condominium dwelling unit in June Lake, owned by Mono County, typically reserved as an employee/workforce housing unit. </w:t>
      </w:r>
    </w:p>
    <w:p w14:paraId="1DFFDB6E" w14:textId="77777777" w:rsidR="001D60B9" w:rsidRPr="00BA6536" w:rsidRDefault="001D60B9" w:rsidP="001D60B9">
      <w:pPr>
        <w:spacing w:after="0" w:line="280" w:lineRule="atLeast"/>
        <w:jc w:val="both"/>
        <w:rPr>
          <w:rFonts w:eastAsia="Times New Roman" w:cs="Times New Roman"/>
        </w:rPr>
      </w:pPr>
    </w:p>
    <w:p w14:paraId="7B91D570"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Thirty-six dwelling units at Camp Antelope, operated by the nonprofit Owens Valley Housing Authority, and reserved for Native Americans. These units are single-family attached and detached units and currently in a dilapidated state. Permits were recently issued to demolish and rebuild the entire thirty six unit project. </w:t>
      </w:r>
    </w:p>
    <w:p w14:paraId="24B618A9" w14:textId="77777777" w:rsidR="001D60B9" w:rsidRPr="00BA6536" w:rsidRDefault="001D60B9" w:rsidP="001D60B9">
      <w:pPr>
        <w:spacing w:after="0" w:line="280" w:lineRule="atLeast"/>
        <w:jc w:val="both"/>
        <w:rPr>
          <w:rFonts w:eastAsia="Times New Roman" w:cs="Times New Roman"/>
        </w:rPr>
      </w:pPr>
    </w:p>
    <w:p w14:paraId="78DCBF51" w14:textId="77777777" w:rsidR="001D60B9" w:rsidRPr="00BA6536" w:rsidRDefault="002E1FEA" w:rsidP="003D5E81">
      <w:pPr>
        <w:pStyle w:val="Heading3"/>
      </w:pPr>
      <w:bookmarkStart w:id="352" w:name="_Toc383700155"/>
      <w:r>
        <w:t xml:space="preserve">d. </w:t>
      </w:r>
      <w:r w:rsidR="001D60B9" w:rsidRPr="00BA6536">
        <w:t>ENERGY CONSERVATION</w:t>
      </w:r>
      <w:bookmarkEnd w:id="352"/>
      <w:r w:rsidR="001D60B9" w:rsidRPr="00BA6536">
        <w:fldChar w:fldCharType="begin"/>
      </w:r>
      <w:r w:rsidR="001D60B9" w:rsidRPr="00BA6536">
        <w:instrText xml:space="preserve"> TC"</w:instrText>
      </w:r>
      <w:bookmarkStart w:id="353" w:name="_Toc53806483"/>
      <w:bookmarkStart w:id="354" w:name="_Toc66156073"/>
      <w:bookmarkStart w:id="355" w:name="_Toc76443996"/>
      <w:bookmarkStart w:id="356" w:name="_Toc123887136"/>
      <w:r w:rsidR="001D60B9" w:rsidRPr="00BA6536">
        <w:instrText>Energy Conservation</w:instrText>
      </w:r>
      <w:bookmarkEnd w:id="353"/>
      <w:bookmarkEnd w:id="354"/>
      <w:bookmarkEnd w:id="355"/>
      <w:bookmarkEnd w:id="356"/>
      <w:r w:rsidR="001D60B9" w:rsidRPr="00BA6536">
        <w:instrText xml:space="preserve">"\l 3 </w:instrText>
      </w:r>
      <w:r w:rsidR="001D60B9" w:rsidRPr="00BA6536">
        <w:fldChar w:fldCharType="end"/>
      </w:r>
    </w:p>
    <w:p w14:paraId="47A481E8"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Housing elements must analyze "… opportunities for energy conservation with respect to residential development" (Section 65583 (a)(7) to ensure that localities consider the long term and short term benefits of energy conservation in residential development, including how energy conservation requirements can contribute to reducing overall development costs and monthly payments for households. </w:t>
      </w:r>
    </w:p>
    <w:p w14:paraId="0D188850" w14:textId="77777777" w:rsidR="001D60B9" w:rsidRPr="00BA6536" w:rsidRDefault="001D60B9" w:rsidP="001D60B9">
      <w:pPr>
        <w:spacing w:after="0" w:line="280" w:lineRule="atLeast"/>
        <w:jc w:val="both"/>
        <w:rPr>
          <w:rFonts w:eastAsia="Times New Roman" w:cs="Times New Roman"/>
        </w:rPr>
      </w:pPr>
    </w:p>
    <w:p w14:paraId="01320F2D"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 General Plan policies currently address the potential for energy conservation in both new residential development and remodeling, i.e.:</w:t>
      </w:r>
    </w:p>
    <w:p w14:paraId="787CE7F8" w14:textId="77777777" w:rsidR="001D60B9" w:rsidRPr="00BA6536" w:rsidRDefault="001D60B9" w:rsidP="001D60B9">
      <w:pPr>
        <w:spacing w:after="0" w:line="280" w:lineRule="atLeast"/>
        <w:jc w:val="both"/>
        <w:rPr>
          <w:rFonts w:eastAsia="Times New Roman" w:cs="Times New Roman"/>
        </w:rPr>
      </w:pPr>
    </w:p>
    <w:p w14:paraId="6ADBFEE4" w14:textId="77777777" w:rsidR="001D60B9" w:rsidRPr="00BA6536" w:rsidRDefault="001D60B9" w:rsidP="001D60B9">
      <w:pPr>
        <w:spacing w:after="0" w:line="280" w:lineRule="atLeast"/>
        <w:jc w:val="both"/>
        <w:rPr>
          <w:rFonts w:eastAsia="Times New Roman" w:cs="Times New Roman"/>
          <w:i/>
        </w:rPr>
      </w:pPr>
      <w:r w:rsidRPr="00BA6536">
        <w:rPr>
          <w:rFonts w:eastAsia="Times New Roman" w:cs="Times New Roman"/>
          <w:i/>
        </w:rPr>
        <w:t>Planning and Land Use Issues</w:t>
      </w:r>
    </w:p>
    <w:p w14:paraId="14CE687E"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Land Use Element and Housing Element provide for an adequate supply of housing for all income groups in existing community areas in order to reduce commutes.</w:t>
      </w:r>
    </w:p>
    <w:p w14:paraId="4D8B6065"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Land Use Element provides for higher density residential development, and infill development, in community areas in order to reduce impacts to the environment, including energy consumption.</w:t>
      </w:r>
    </w:p>
    <w:p w14:paraId="76FDEC7D"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Conservation/Open Space Element policies allow the use of alternative energy sources (such as photovoltaic systems) and promote water efficient landscaping and energy efficient irrigation systems</w:t>
      </w:r>
    </w:p>
    <w:p w14:paraId="06666389" w14:textId="77777777" w:rsidR="001D60B9" w:rsidRPr="00BA6536" w:rsidRDefault="001D60B9" w:rsidP="001D60B9">
      <w:pPr>
        <w:spacing w:after="0" w:line="280" w:lineRule="atLeast"/>
        <w:jc w:val="both"/>
        <w:rPr>
          <w:rFonts w:eastAsia="Times New Roman" w:cs="Times New Roman"/>
        </w:rPr>
      </w:pPr>
    </w:p>
    <w:p w14:paraId="21053672" w14:textId="77777777" w:rsidR="001D60B9" w:rsidRPr="00BA6536" w:rsidRDefault="001D60B9" w:rsidP="001D60B9">
      <w:pPr>
        <w:spacing w:after="0" w:line="280" w:lineRule="atLeast"/>
        <w:jc w:val="both"/>
        <w:rPr>
          <w:rFonts w:eastAsia="Times New Roman" w:cs="Times New Roman"/>
          <w:i/>
        </w:rPr>
      </w:pPr>
      <w:r w:rsidRPr="00BA6536">
        <w:rPr>
          <w:rFonts w:eastAsia="Times New Roman" w:cs="Times New Roman"/>
          <w:i/>
        </w:rPr>
        <w:t>Conservation Incentives for the Building Industry and Residents</w:t>
      </w:r>
    </w:p>
    <w:p w14:paraId="60066551"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Land Use Element and Housing Element provide for an adequate supply of housing for all income groups in existing community areas in order to reduce commutes.</w:t>
      </w:r>
    </w:p>
    <w:p w14:paraId="7069AD37"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Land Use Element provides for higher density residential development in community areas in order to reduce impacts to the environment, including energy consumption.</w:t>
      </w:r>
    </w:p>
    <w:p w14:paraId="2126FA30"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Mono County’s Conservation/Open Space Element provides density bonuses for residential and commercial projects using passive or active solar heating/cooling.  A 10 percent density bonus may be allowed for each 25 percent reduction in space and water heating/cooling demand.</w:t>
      </w:r>
    </w:p>
    <w:p w14:paraId="6F58C9CB"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Additional policies and programs in the Conservation/Open Space Element encourage energy conservation, including weatherization programs.</w:t>
      </w:r>
    </w:p>
    <w:p w14:paraId="3C426017"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The Inyo Mono Advocates for Community Action (IMACA) administers a weatherization program for low-income persons. </w:t>
      </w:r>
    </w:p>
    <w:p w14:paraId="596D2932"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The California Department of Community Services and Development (CSD) administers the Low Income Home Energy Assistance Program (LIHEAP) Block Grant, funded by the federal Department of Health and Human Services (DHHS). The program provides two basic types of services. Eligible low-income persons, via local governmental and nonprofit organizations, can receive financial assistance to offset the costs of heating and/or cooling dwellings, and/or have their dwellings weatherized to make them more energy efficient. This is accomplished through three program components:</w:t>
      </w:r>
    </w:p>
    <w:p w14:paraId="4BD25102" w14:textId="77777777" w:rsidR="001D60B9" w:rsidRPr="00BA6536" w:rsidRDefault="001D60B9" w:rsidP="001D60B9">
      <w:pPr>
        <w:spacing w:after="0" w:line="280" w:lineRule="atLeast"/>
        <w:ind w:right="360"/>
        <w:jc w:val="both"/>
        <w:rPr>
          <w:rFonts w:eastAsia="Times New Roman" w:cs="Times New Roman"/>
        </w:rPr>
      </w:pPr>
    </w:p>
    <w:p w14:paraId="5E7A9E81" w14:textId="77777777" w:rsidR="001D60B9" w:rsidRPr="00BA6536" w:rsidRDefault="001D60B9" w:rsidP="001D60B9">
      <w:pPr>
        <w:spacing w:after="0" w:line="280" w:lineRule="atLeast"/>
        <w:ind w:right="360"/>
        <w:jc w:val="both"/>
        <w:rPr>
          <w:rFonts w:eastAsia="Times New Roman" w:cs="Times New Roman"/>
        </w:rPr>
      </w:pPr>
      <w:r w:rsidRPr="00BA6536">
        <w:rPr>
          <w:rFonts w:eastAsia="Times New Roman" w:cs="Times New Roman"/>
        </w:rPr>
        <w:t xml:space="preserve">1. The </w:t>
      </w:r>
      <w:r w:rsidRPr="00BA6536">
        <w:rPr>
          <w:rFonts w:eastAsia="Times New Roman" w:cs="Times New Roman"/>
          <w:i/>
        </w:rPr>
        <w:t>Weatherization Program</w:t>
      </w:r>
      <w:r w:rsidRPr="00BA6536">
        <w:rPr>
          <w:rFonts w:eastAsia="Times New Roman" w:cs="Times New Roman"/>
        </w:rPr>
        <w:t xml:space="preserve"> provides free weatherization services to improve the energy efficiency of homes, including attic insulation, weather</w:t>
      </w:r>
      <w:r w:rsidR="003D6E08" w:rsidRPr="00BA6536">
        <w:rPr>
          <w:rFonts w:eastAsia="Times New Roman" w:cs="Times New Roman"/>
        </w:rPr>
        <w:t>-</w:t>
      </w:r>
      <w:r w:rsidRPr="00BA6536">
        <w:rPr>
          <w:rFonts w:eastAsia="Times New Roman" w:cs="Times New Roman"/>
        </w:rPr>
        <w:t>stripping, minor housing repairs, and related energy conservation measures.</w:t>
      </w:r>
    </w:p>
    <w:p w14:paraId="211FA078" w14:textId="77777777" w:rsidR="001D60B9" w:rsidRPr="00BA6536" w:rsidRDefault="001D60B9" w:rsidP="001D60B9">
      <w:pPr>
        <w:spacing w:after="0" w:line="280" w:lineRule="atLeast"/>
        <w:ind w:right="360"/>
        <w:jc w:val="both"/>
        <w:rPr>
          <w:rFonts w:eastAsia="Times New Roman" w:cs="Times New Roman"/>
        </w:rPr>
      </w:pPr>
      <w:r w:rsidRPr="00BA6536">
        <w:rPr>
          <w:rFonts w:eastAsia="Times New Roman" w:cs="Times New Roman"/>
        </w:rPr>
        <w:t xml:space="preserve">2. The </w:t>
      </w:r>
      <w:r w:rsidRPr="00BA6536">
        <w:rPr>
          <w:rFonts w:eastAsia="Times New Roman" w:cs="Times New Roman"/>
          <w:i/>
        </w:rPr>
        <w:t>Home Energy Assistance Program (HEAP)</w:t>
      </w:r>
      <w:r w:rsidRPr="00BA6536">
        <w:rPr>
          <w:rFonts w:eastAsia="Times New Roman" w:cs="Times New Roman"/>
        </w:rPr>
        <w:t xml:space="preserve"> provides financial assistance to eligible households to offset the costs of heating and/or cooling dwellings. </w:t>
      </w:r>
    </w:p>
    <w:p w14:paraId="555BDAC2" w14:textId="77777777" w:rsidR="001D60B9" w:rsidRPr="00BA6536" w:rsidRDefault="001D60B9" w:rsidP="001D60B9">
      <w:pPr>
        <w:spacing w:after="0" w:line="280" w:lineRule="atLeast"/>
        <w:ind w:right="360"/>
        <w:jc w:val="both"/>
        <w:rPr>
          <w:rFonts w:eastAsia="Times New Roman" w:cs="Times New Roman"/>
        </w:rPr>
      </w:pPr>
      <w:r w:rsidRPr="00BA6536">
        <w:rPr>
          <w:rFonts w:eastAsia="Times New Roman" w:cs="Times New Roman"/>
        </w:rPr>
        <w:t xml:space="preserve">3. The </w:t>
      </w:r>
      <w:r w:rsidRPr="00BA6536">
        <w:rPr>
          <w:rFonts w:eastAsia="Times New Roman" w:cs="Times New Roman"/>
          <w:i/>
        </w:rPr>
        <w:t>Energy Crisis Intervention Program (ECIP)</w:t>
      </w:r>
      <w:r w:rsidRPr="00BA6536">
        <w:rPr>
          <w:rFonts w:eastAsia="Times New Roman" w:cs="Times New Roman"/>
        </w:rPr>
        <w:t xml:space="preserve"> provides payments for weather-related or energy-related emergencies.</w:t>
      </w:r>
    </w:p>
    <w:p w14:paraId="3FE42309"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Southern California Edison (SCE), the electric energy provider throughout the County, administers a number of programs designed to help all customers conserve energy and to lower costs for low-income customers. These programs include the following:</w:t>
      </w:r>
    </w:p>
    <w:p w14:paraId="2E20F2F4" w14:textId="77777777" w:rsidR="001D60B9" w:rsidRPr="00BA6536" w:rsidRDefault="001D60B9" w:rsidP="001D60B9">
      <w:pPr>
        <w:spacing w:after="0" w:line="280" w:lineRule="atLeast"/>
        <w:jc w:val="both"/>
        <w:rPr>
          <w:rFonts w:eastAsia="Times New Roman" w:cs="Times New Roman"/>
        </w:rPr>
      </w:pPr>
    </w:p>
    <w:p w14:paraId="41153695"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1. The </w:t>
      </w:r>
      <w:r w:rsidRPr="00BA6536">
        <w:rPr>
          <w:rFonts w:eastAsia="Times New Roman" w:cs="Times New Roman"/>
          <w:i/>
        </w:rPr>
        <w:t>Low-Income Energy Efficiency Program</w:t>
      </w:r>
      <w:r w:rsidRPr="00BA6536">
        <w:rPr>
          <w:rFonts w:eastAsia="Times New Roman" w:cs="Times New Roman"/>
        </w:rPr>
        <w:t xml:space="preserve"> provides services, or "measures," designed to help low-income households conserve energy and reduce their electricity costs. SCE pays all the cost of purchasing and installing the measures, which are free to eligible customers.</w:t>
      </w:r>
    </w:p>
    <w:p w14:paraId="65DBD7F4"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2. The </w:t>
      </w:r>
      <w:r w:rsidRPr="00BA6536">
        <w:rPr>
          <w:rFonts w:eastAsia="Times New Roman" w:cs="Times New Roman"/>
          <w:i/>
        </w:rPr>
        <w:t>Energy Assistance Fund</w:t>
      </w:r>
      <w:r w:rsidRPr="00BA6536">
        <w:rPr>
          <w:rFonts w:eastAsia="Times New Roman" w:cs="Times New Roman"/>
        </w:rPr>
        <w:t xml:space="preserve"> helps qualified customers in financial hardship with winter electric bills.</w:t>
      </w:r>
    </w:p>
    <w:p w14:paraId="3DF8A613"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3. If you or a full-time resident in your home require the regular use of electrically operated life-support equipment, you may be eligible for a </w:t>
      </w:r>
      <w:r w:rsidRPr="00BA6536">
        <w:rPr>
          <w:rFonts w:eastAsia="Times New Roman" w:cs="Times New Roman"/>
          <w:i/>
        </w:rPr>
        <w:t>Medical Baseline Allocation</w:t>
      </w:r>
      <w:r w:rsidRPr="00BA6536">
        <w:rPr>
          <w:rFonts w:eastAsia="Times New Roman" w:cs="Times New Roman"/>
        </w:rPr>
        <w:t xml:space="preserve"> that allows you to be billed at a lower rate for your electric service.</w:t>
      </w:r>
    </w:p>
    <w:p w14:paraId="0707F91A"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4. </w:t>
      </w:r>
      <w:r w:rsidRPr="00BA6536">
        <w:rPr>
          <w:rFonts w:eastAsia="Times New Roman" w:cs="Times New Roman"/>
          <w:i/>
        </w:rPr>
        <w:t>CARE</w:t>
      </w:r>
      <w:r w:rsidRPr="00BA6536">
        <w:rPr>
          <w:rFonts w:eastAsia="Times New Roman" w:cs="Times New Roman"/>
        </w:rPr>
        <w:t xml:space="preserve"> provides a 20% discount on utility rates and charges at a customer's primary home. To qualify, you must meet all income eligibility guidelines, hold the utility account in your name, and not be claimed as a dependent by any other person living in the residence.</w:t>
      </w:r>
    </w:p>
    <w:p w14:paraId="57EC17E3"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5. Save money and conserve energy by joining </w:t>
      </w:r>
      <w:r w:rsidRPr="00BA6536">
        <w:rPr>
          <w:rFonts w:eastAsia="Times New Roman" w:cs="Times New Roman"/>
          <w:i/>
        </w:rPr>
        <w:t>SCE's Residential Air Conditioner Cycling Program (ACCP)</w:t>
      </w:r>
      <w:r w:rsidRPr="00BA6536">
        <w:rPr>
          <w:rFonts w:eastAsia="Times New Roman" w:cs="Times New Roman"/>
        </w:rPr>
        <w:t>, in which you receive a credit on your summer season electric bills.</w:t>
      </w:r>
    </w:p>
    <w:p w14:paraId="175D3735"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6. SCE offers a free do-it-yourself </w:t>
      </w:r>
      <w:r w:rsidRPr="00BA6536">
        <w:rPr>
          <w:rFonts w:eastAsia="Times New Roman" w:cs="Times New Roman"/>
          <w:i/>
        </w:rPr>
        <w:t>home energy survey</w:t>
      </w:r>
      <w:r w:rsidRPr="00BA6536">
        <w:rPr>
          <w:rFonts w:eastAsia="Times New Roman" w:cs="Times New Roman"/>
        </w:rPr>
        <w:t>. This provides recommendations and practical steps to reduce energy costs and improve the energy efficiency of your home.</w:t>
      </w:r>
    </w:p>
    <w:p w14:paraId="6E1BBAA0"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 xml:space="preserve">7. SCE also maintains an extensive </w:t>
      </w:r>
      <w:r w:rsidRPr="00BA6536">
        <w:rPr>
          <w:rFonts w:eastAsia="Times New Roman" w:cs="Times New Roman"/>
          <w:i/>
        </w:rPr>
        <w:t>online library of energy-saving tips</w:t>
      </w:r>
      <w:r w:rsidRPr="00BA6536">
        <w:rPr>
          <w:rFonts w:eastAsia="Times New Roman" w:cs="Times New Roman"/>
        </w:rPr>
        <w:t xml:space="preserve"> (</w:t>
      </w:r>
      <w:r w:rsidRPr="00BA6536">
        <w:rPr>
          <w:rFonts w:eastAsia="Times New Roman" w:cs="Times New Roman"/>
          <w:u w:val="single"/>
        </w:rPr>
        <w:t>www.sce.com</w:t>
      </w:r>
      <w:r w:rsidRPr="00BA6536">
        <w:rPr>
          <w:rFonts w:eastAsia="Times New Roman" w:cs="Times New Roman"/>
        </w:rPr>
        <w:t xml:space="preserve">) and conducts public outreach to promote conservation and provide information on low-income assistance options. </w:t>
      </w:r>
    </w:p>
    <w:p w14:paraId="38D38C2E" w14:textId="77777777" w:rsidR="001D60B9" w:rsidRPr="00BA6536" w:rsidRDefault="001D60B9" w:rsidP="001D60B9">
      <w:pPr>
        <w:spacing w:after="0" w:line="280" w:lineRule="atLeast"/>
        <w:jc w:val="both"/>
        <w:rPr>
          <w:rFonts w:eastAsia="Times New Roman" w:cs="Times New Roman"/>
        </w:rPr>
      </w:pPr>
    </w:p>
    <w:p w14:paraId="26B58486" w14:textId="77777777" w:rsidR="001D60B9" w:rsidRPr="00BA6536" w:rsidRDefault="001D60B9" w:rsidP="001D60B9">
      <w:pPr>
        <w:spacing w:after="0" w:line="280" w:lineRule="atLeast"/>
        <w:jc w:val="both"/>
        <w:rPr>
          <w:rFonts w:eastAsia="Times New Roman" w:cs="Times New Roman"/>
          <w:i/>
        </w:rPr>
      </w:pPr>
      <w:r w:rsidRPr="00BA6536">
        <w:rPr>
          <w:rFonts w:eastAsia="Times New Roman" w:cs="Times New Roman"/>
          <w:i/>
        </w:rPr>
        <w:t>Promoting Green Building and Energy Efficient Building Standards and Practices</w:t>
      </w:r>
    </w:p>
    <w:p w14:paraId="1CA9CAEB" w14:textId="77777777" w:rsidR="001D60B9" w:rsidRPr="00BA6536" w:rsidRDefault="001D60B9" w:rsidP="001D60B9">
      <w:pPr>
        <w:spacing w:after="0" w:line="280" w:lineRule="atLeast"/>
        <w:jc w:val="both"/>
        <w:rPr>
          <w:rFonts w:eastAsia="Times New Roman" w:cs="Times New Roman"/>
        </w:rPr>
      </w:pPr>
      <w:r w:rsidRPr="00BA6536">
        <w:rPr>
          <w:rFonts w:eastAsia="Times New Roman" w:cs="Times New Roman"/>
        </w:rPr>
        <w:t>All new development in unincorporated Mono County, and major remodeling, such as home additions, must comply with the Title 24 of the California Administrative Energy Code and the 2013 California Green Building Code. Title 24 implements energy efficiency standards relating to wall and ceiling insulation, thermal mass, and window-to-floor area ratios designed to reduce heat loss and energy consumption.</w:t>
      </w:r>
    </w:p>
    <w:p w14:paraId="38DA62BA" w14:textId="77777777" w:rsidR="00B80A5B" w:rsidRPr="00BA6536" w:rsidRDefault="00B80A5B" w:rsidP="00B80A5B">
      <w:pPr>
        <w:spacing w:after="0" w:line="280" w:lineRule="atLeast"/>
        <w:jc w:val="both"/>
        <w:rPr>
          <w:rFonts w:eastAsia="Times New Roman" w:cs="ArialMT"/>
          <w:lang w:bidi="en-US"/>
        </w:rPr>
      </w:pPr>
    </w:p>
    <w:p w14:paraId="2D0A4CBE" w14:textId="77777777" w:rsidR="003359B5" w:rsidRPr="00BA6536" w:rsidRDefault="003D5E81" w:rsidP="003D5E81">
      <w:pPr>
        <w:pStyle w:val="Heading1"/>
        <w:rPr>
          <w:rFonts w:eastAsia="Times New Roman" w:cs="ArialMT"/>
          <w:color w:val="auto"/>
          <w:lang w:bidi="en-US"/>
        </w:rPr>
      </w:pPr>
      <w:bookmarkStart w:id="357" w:name="_Toc383700156"/>
      <w:r w:rsidRPr="00BA6536">
        <w:rPr>
          <w:rFonts w:eastAsia="Times New Roman" w:cs="ArialMT"/>
          <w:color w:val="auto"/>
          <w:lang w:bidi="en-US"/>
        </w:rPr>
        <w:t>4</w:t>
      </w:r>
      <w:r w:rsidR="003359B5" w:rsidRPr="00BA6536">
        <w:rPr>
          <w:rFonts w:eastAsia="Times New Roman" w:cs="ArialMT"/>
          <w:color w:val="auto"/>
          <w:lang w:bidi="en-US"/>
        </w:rPr>
        <w:t>. PROGRESS REPORT</w:t>
      </w:r>
      <w:bookmarkEnd w:id="357"/>
    </w:p>
    <w:p w14:paraId="7F2EE053" w14:textId="77777777" w:rsidR="003359B5" w:rsidRPr="00BA6536" w:rsidRDefault="003359B5" w:rsidP="00B80A5B">
      <w:pPr>
        <w:spacing w:after="0" w:line="280" w:lineRule="atLeast"/>
        <w:jc w:val="both"/>
        <w:rPr>
          <w:rFonts w:eastAsia="Times New Roman" w:cs="ArialMT"/>
          <w:lang w:bidi="en-US"/>
        </w:rPr>
      </w:pPr>
    </w:p>
    <w:p w14:paraId="4460BF0C" w14:textId="77777777" w:rsidR="003359B5" w:rsidRPr="00BA6536" w:rsidRDefault="002E1FEA" w:rsidP="003D5E81">
      <w:pPr>
        <w:pStyle w:val="Heading2"/>
        <w:rPr>
          <w:rFonts w:eastAsia="Times New Roman" w:cs="ArialMT"/>
          <w:color w:val="auto"/>
          <w:lang w:bidi="en-US"/>
        </w:rPr>
      </w:pPr>
      <w:bookmarkStart w:id="358" w:name="_Toc383700157"/>
      <w:r>
        <w:rPr>
          <w:rFonts w:eastAsia="Times New Roman" w:cs="ArialMT"/>
          <w:color w:val="auto"/>
          <w:lang w:bidi="en-US"/>
        </w:rPr>
        <w:t xml:space="preserve">A. </w:t>
      </w:r>
      <w:r w:rsidR="003359B5" w:rsidRPr="00BA6536">
        <w:rPr>
          <w:rFonts w:eastAsia="Times New Roman" w:cs="ArialMT"/>
          <w:color w:val="auto"/>
          <w:lang w:bidi="en-US"/>
        </w:rPr>
        <w:t>PROVISION OF ADEQUATE SITES</w:t>
      </w:r>
      <w:bookmarkEnd w:id="358"/>
    </w:p>
    <w:p w14:paraId="4E8E029B" w14:textId="77777777" w:rsidR="003359B5" w:rsidRPr="00BA6536" w:rsidRDefault="003359B5" w:rsidP="00B80A5B">
      <w:pPr>
        <w:spacing w:after="0" w:line="280" w:lineRule="atLeast"/>
        <w:jc w:val="both"/>
        <w:rPr>
          <w:rFonts w:eastAsia="Times New Roman" w:cs="ArialMT"/>
          <w:lang w:bidi="en-US"/>
        </w:rPr>
      </w:pPr>
    </w:p>
    <w:p w14:paraId="3906C695" w14:textId="77777777" w:rsidR="003359B5" w:rsidRPr="00BA6536" w:rsidRDefault="003359B5" w:rsidP="003359B5">
      <w:pPr>
        <w:spacing w:after="0" w:line="280" w:lineRule="atLeast"/>
        <w:ind w:left="1260" w:hanging="1260"/>
        <w:jc w:val="both"/>
        <w:rPr>
          <w:rFonts w:eastAsia="Times New Roman" w:cs="Times New Roman"/>
          <w:b/>
        </w:rPr>
      </w:pPr>
      <w:r w:rsidRPr="00BA6536">
        <w:rPr>
          <w:rFonts w:eastAsia="Times New Roman" w:cs="Times New Roman"/>
          <w:b/>
        </w:rPr>
        <w:t>Program 1</w:t>
      </w:r>
      <w:r w:rsidR="00022FE4">
        <w:rPr>
          <w:rFonts w:eastAsia="Times New Roman" w:cs="Times New Roman"/>
          <w:b/>
        </w:rPr>
        <w:t>:1</w:t>
      </w:r>
      <w:r w:rsidRPr="00BA6536">
        <w:rPr>
          <w:rFonts w:eastAsia="Times New Roman" w:cs="Times New Roman"/>
          <w:b/>
        </w:rPr>
        <w:tab/>
        <w:t>Pursue land exchanges of existing seasonal housing units on public lands into private ownership so those units may become available for local year-round housing.  Following completion of the land tenure planning process, identify and prioritize possible land exchanges in areas with existing seasonal housing.</w:t>
      </w:r>
    </w:p>
    <w:p w14:paraId="53FD068A" w14:textId="77777777" w:rsidR="003359B5" w:rsidRPr="00BA6536" w:rsidRDefault="003359B5" w:rsidP="003359B5">
      <w:pPr>
        <w:spacing w:after="0" w:line="280" w:lineRule="atLeast"/>
        <w:ind w:left="2340" w:hanging="2340"/>
        <w:jc w:val="both"/>
        <w:rPr>
          <w:rFonts w:eastAsia="Times New Roman" w:cs="Times New Roman"/>
        </w:rPr>
      </w:pPr>
      <w:r w:rsidRPr="00BA6536">
        <w:rPr>
          <w:rFonts w:eastAsia="Times New Roman" w:cs="Times New Roman"/>
        </w:rPr>
        <w:t>Responsible Agencies:  Community Development Department, Board of Supervisors.</w:t>
      </w:r>
    </w:p>
    <w:p w14:paraId="2CF0AFC1" w14:textId="77777777" w:rsidR="003359B5" w:rsidRPr="00BA6536" w:rsidRDefault="003359B5" w:rsidP="003359B5">
      <w:pPr>
        <w:tabs>
          <w:tab w:val="left" w:pos="1440"/>
        </w:tabs>
        <w:spacing w:after="0" w:line="280" w:lineRule="atLeast"/>
        <w:ind w:left="2340" w:hanging="2340"/>
        <w:rPr>
          <w:rFonts w:eastAsia="Times New Roman" w:cs="Times New Roman"/>
        </w:rPr>
      </w:pPr>
      <w:r w:rsidRPr="00BA6536">
        <w:rPr>
          <w:rFonts w:eastAsia="Times New Roman" w:cs="Times New Roman"/>
        </w:rPr>
        <w:t>Timeframe: 2011/12</w:t>
      </w:r>
    </w:p>
    <w:p w14:paraId="28934DDD"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An interagency land tenure committee developed a master land tenure plan identifying properties and the processes involved to complete land trades throughout the county.  A land tenure sub-committee of the CPT meets quarterly to discuss land tenure issues.  One USFS summer home tract has been identified as a potential candidate for an exchange, however financial obstacles to the project remain. </w:t>
      </w:r>
    </w:p>
    <w:p w14:paraId="361EED74"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5B8850A2"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The land tenure sub-committee will continue to meet quarterly.</w:t>
      </w:r>
    </w:p>
    <w:p w14:paraId="178A3A5C" w14:textId="77777777"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59264" behindDoc="0" locked="0" layoutInCell="1" allowOverlap="1" wp14:anchorId="087D1EEA" wp14:editId="4317A9E2">
                <wp:simplePos x="0" y="0"/>
                <wp:positionH relativeFrom="column">
                  <wp:posOffset>0</wp:posOffset>
                </wp:positionH>
                <wp:positionV relativeFrom="paragraph">
                  <wp:posOffset>-635</wp:posOffset>
                </wp:positionV>
                <wp:extent cx="60198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D86989"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KWcA5HIAQAAdA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2CED974B"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1:2</w:t>
      </w:r>
      <w:r w:rsidR="003359B5" w:rsidRPr="00BA6536">
        <w:rPr>
          <w:rFonts w:eastAsia="Times New Roman" w:cs="Times New Roman"/>
          <w:b/>
        </w:rPr>
        <w:tab/>
        <w:t>Inventory existing and/or potential agency housing areas (Mono County, Town of Mammoth Lakes, Southern Mono Hospital District, Mammoth Unified School District, USFS, BLM, Caltrans, LADWP, etc.) and work with agencies to assess where additional housing might be made available.</w:t>
      </w:r>
    </w:p>
    <w:p w14:paraId="31D1D0BE"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5941E136"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2010.</w:t>
      </w:r>
    </w:p>
    <w:p w14:paraId="4F69CCCD" w14:textId="77777777" w:rsidR="003359B5" w:rsidRPr="00BA6536" w:rsidRDefault="003359B5" w:rsidP="00FC4C68">
      <w:pPr>
        <w:tabs>
          <w:tab w:val="left" w:pos="1080"/>
          <w:tab w:val="left" w:pos="1260"/>
        </w:tabs>
        <w:spacing w:after="0" w:line="280" w:lineRule="atLeast"/>
        <w:ind w:left="990" w:hanging="990"/>
        <w:rPr>
          <w:rFonts w:eastAsia="Times New Roman" w:cs="Times New Roman"/>
        </w:rPr>
      </w:pPr>
      <w:r w:rsidRPr="00BA6536">
        <w:rPr>
          <w:rFonts w:eastAsia="Times New Roman" w:cs="Times New Roman"/>
          <w:b/>
        </w:rPr>
        <w:t xml:space="preserve">Progress:  </w:t>
      </w:r>
      <w:r w:rsidRPr="00BA6536">
        <w:rPr>
          <w:rFonts w:eastAsia="Times New Roman" w:cs="Times New Roman"/>
        </w:rPr>
        <w:t>This task was left out of the land tenure project and will be addressed by the land tenure committee.</w:t>
      </w:r>
    </w:p>
    <w:p w14:paraId="28E2BBCD"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Incomplete.</w:t>
      </w:r>
    </w:p>
    <w:p w14:paraId="1D4B6D75" w14:textId="77777777"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 xml:space="preserve">The program will be addressed by the land tenure subcommittee </w:t>
      </w:r>
    </w:p>
    <w:p w14:paraId="71B2EE01" w14:textId="77777777"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60288" behindDoc="0" locked="0" layoutInCell="1" allowOverlap="1" wp14:anchorId="7DDD29C0" wp14:editId="2897A51C">
                <wp:simplePos x="0" y="0"/>
                <wp:positionH relativeFrom="column">
                  <wp:posOffset>0</wp:posOffset>
                </wp:positionH>
                <wp:positionV relativeFrom="paragraph">
                  <wp:posOffset>-635</wp:posOffset>
                </wp:positionV>
                <wp:extent cx="60198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1ACC034"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LbaJ1PIAQAAdA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786187A8"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1:3</w:t>
      </w:r>
      <w:r w:rsidR="003359B5" w:rsidRPr="00BA6536">
        <w:rPr>
          <w:rFonts w:eastAsia="Times New Roman" w:cs="Times New Roman"/>
          <w:b/>
        </w:rPr>
        <w:tab/>
        <w:t>Work with public agencies (USFS, BLM, Caltrans, LADWP, etc.) to consolidate services and land uses (e.g., road shops) in order to free up land for housing, particularly affordable housing. Consistent with land use policies, encourage agencies to locate their housing within or adjacent to existing communities to facilitate sustainable community growth.</w:t>
      </w:r>
    </w:p>
    <w:p w14:paraId="509E3C6E"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Public Works Department, Board of Supervisors.</w:t>
      </w:r>
    </w:p>
    <w:p w14:paraId="6181204D"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2011.</w:t>
      </w:r>
    </w:p>
    <w:p w14:paraId="31C109BB"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The future use and potential exchange of agency owned properties within and near community areas has been incorporated into local area plans. </w:t>
      </w:r>
    </w:p>
    <w:p w14:paraId="559F2A04"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561BC88C" w14:textId="77777777"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 xml:space="preserve">The concept will be expanded to regional and outside agency planning documents where feasible. </w:t>
      </w:r>
    </w:p>
    <w:p w14:paraId="02E98EAF" w14:textId="77777777"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61312" behindDoc="0" locked="0" layoutInCell="1" allowOverlap="1" wp14:anchorId="5CA5EE79" wp14:editId="64BA86D9">
                <wp:simplePos x="0" y="0"/>
                <wp:positionH relativeFrom="column">
                  <wp:posOffset>0</wp:posOffset>
                </wp:positionH>
                <wp:positionV relativeFrom="paragraph">
                  <wp:posOffset>-635</wp:posOffset>
                </wp:positionV>
                <wp:extent cx="60198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ACB4755"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Gt2Rn7IAQAAdA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551391A9" w14:textId="77777777" w:rsidR="003359B5" w:rsidRPr="00BA6536" w:rsidRDefault="00022FE4" w:rsidP="003359B5">
      <w:pPr>
        <w:tabs>
          <w:tab w:val="left" w:pos="1260"/>
        </w:tabs>
        <w:spacing w:after="0" w:line="280" w:lineRule="atLeast"/>
        <w:ind w:left="1260" w:hanging="1260"/>
        <w:jc w:val="both"/>
        <w:rPr>
          <w:rFonts w:eastAsia="Times New Roman" w:cs="Times New Roman"/>
          <w:b/>
          <w:i/>
        </w:rPr>
      </w:pPr>
      <w:r>
        <w:rPr>
          <w:rFonts w:eastAsia="Times New Roman" w:cs="Times New Roman"/>
          <w:b/>
        </w:rPr>
        <w:t>Program 1:4</w:t>
      </w:r>
      <w:r w:rsidR="003359B5" w:rsidRPr="00BA6536">
        <w:rPr>
          <w:rFonts w:eastAsia="Times New Roman" w:cs="Times New Roman"/>
          <w:b/>
        </w:rPr>
        <w:tab/>
        <w:t>Examine the inventory of County-owned land for potential housing sites (e.g., road shop sites, Conway Ranch, Sheriff Substation, etc).</w:t>
      </w:r>
    </w:p>
    <w:p w14:paraId="6AC7E22D"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113CCAC4"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2010.</w:t>
      </w:r>
    </w:p>
    <w:p w14:paraId="643B82C3"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The future use and potential exchange of county owned facilities within and near community areas has been incorporated into local area plans.  The Sherriff Substation was analyzed by contractors and architects for the potential conversion into a habitable unit, however, costs has not been allocated for the project. </w:t>
      </w:r>
    </w:p>
    <w:p w14:paraId="5A147091"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5D2F62EF" w14:textId="77777777"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 xml:space="preserve">The use of county owned land will continue to be incorporated into local area plans. </w:t>
      </w:r>
    </w:p>
    <w:p w14:paraId="7DF3591D" w14:textId="77777777"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62336" behindDoc="0" locked="0" layoutInCell="1" allowOverlap="1" wp14:anchorId="62D42C70" wp14:editId="00B9BD54">
                <wp:simplePos x="0" y="0"/>
                <wp:positionH relativeFrom="column">
                  <wp:posOffset>0</wp:posOffset>
                </wp:positionH>
                <wp:positionV relativeFrom="paragraph">
                  <wp:posOffset>-635</wp:posOffset>
                </wp:positionV>
                <wp:extent cx="60198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4CFE403"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" strokecolor="#5b9bd5" strokeweight=".5pt">
                <v:stroke joinstyle="miter"/>
              </v:line>
            </w:pict>
          </mc:Fallback>
        </mc:AlternateContent>
      </w:r>
    </w:p>
    <w:p w14:paraId="7BAEBC1F"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1:5</w:t>
      </w:r>
      <w:r w:rsidR="003359B5" w:rsidRPr="00BA6536">
        <w:rPr>
          <w:rFonts w:eastAsia="Times New Roman" w:cs="Times New Roman"/>
          <w:b/>
        </w:rPr>
        <w:tab/>
        <w:t>Study the possibility of acquiring/exchanging public lands surrounding existing community areas for community expansion purposes and/or related infrastructure development, particularly in those areas designated in the Land Use Element for community expansion. Based on the results of these studies, take necessary actions to promote the exchange of lands and encourage the development of a variety of housing types, including multifamily for lower-income households in the acquisition/exchange of public lands.</w:t>
      </w:r>
    </w:p>
    <w:p w14:paraId="7973E493"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6E14CA38"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2012.</w:t>
      </w:r>
    </w:p>
    <w:p w14:paraId="2E9EB90F"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This program has been incorporated into the Land Tenure Planning effort and will continue to be incorporated into local area plans. </w:t>
      </w:r>
    </w:p>
    <w:p w14:paraId="1A2E51E3"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7E083858" w14:textId="77777777"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1C6681BB" w14:textId="77777777" w:rsidR="003359B5" w:rsidRPr="00BA6536" w:rsidRDefault="003359B5" w:rsidP="003359B5">
      <w:pPr>
        <w:spacing w:after="0" w:line="280" w:lineRule="atLeast"/>
        <w:ind w:left="1080" w:hanging="1080"/>
        <w:jc w:val="both"/>
        <w:rPr>
          <w:rFonts w:ascii="Times New Roman" w:eastAsia="Times New Roman" w:hAnsi="Times New Roman" w:cs="Times New Roman"/>
          <w:b/>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63360" behindDoc="0" locked="0" layoutInCell="1" allowOverlap="1" wp14:anchorId="70A0DD8F" wp14:editId="6660B0EE">
                <wp:simplePos x="0" y="0"/>
                <wp:positionH relativeFrom="column">
                  <wp:posOffset>0</wp:posOffset>
                </wp:positionH>
                <wp:positionV relativeFrom="paragraph">
                  <wp:posOffset>-635</wp:posOffset>
                </wp:positionV>
                <wp:extent cx="60198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1F8A90F"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NEvhSTIAQAAdA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238B9CDB"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1:6</w:t>
      </w:r>
      <w:r w:rsidR="003359B5" w:rsidRPr="00BA6536">
        <w:rPr>
          <w:rFonts w:eastAsia="Times New Roman" w:cs="Times New Roman"/>
          <w:b/>
        </w:rPr>
        <w:tab/>
        <w:t>Implement policies in the Land Use Element pertaining to the provision of services and the coordination of development with service capability. Work with local service providers (public utility districts, fire protection districts, gas/electric power providers, telephone/communications systems providers, etc.) to ensure that adequate services are or will be available for housing development.</w:t>
      </w:r>
    </w:p>
    <w:p w14:paraId="3E0D40B2"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Environmental Health.</w:t>
      </w:r>
    </w:p>
    <w:p w14:paraId="1D77BCEA"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14:paraId="15972517"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The County has initiated a program to gather</w:t>
      </w:r>
      <w:r w:rsidRPr="00BA6536">
        <w:rPr>
          <w:rFonts w:eastAsia="Times New Roman" w:cs="Times New Roman"/>
          <w:b/>
        </w:rPr>
        <w:t xml:space="preserve"> </w:t>
      </w:r>
      <w:r w:rsidRPr="00BA6536">
        <w:rPr>
          <w:rFonts w:eastAsia="Times New Roman" w:cs="Times New Roman"/>
        </w:rPr>
        <w:t>GIS data for all local utiltiies and service providers I order to streamline major development projects.</w:t>
      </w:r>
      <w:r w:rsidRPr="00BA6536">
        <w:rPr>
          <w:rFonts w:eastAsia="Times New Roman" w:cs="Times New Roman"/>
          <w:b/>
        </w:rPr>
        <w:t xml:space="preserve"> </w:t>
      </w:r>
      <w:r w:rsidRPr="00BA6536">
        <w:rPr>
          <w:rFonts w:eastAsia="Times New Roman" w:cs="Times New Roman"/>
        </w:rPr>
        <w:t>Will serve letters are required as dictated by the Land Use Element.</w:t>
      </w:r>
    </w:p>
    <w:p w14:paraId="6276B327"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Effectiveness:</w:t>
      </w:r>
      <w:r w:rsidRPr="00BA6536">
        <w:rPr>
          <w:rFonts w:eastAsia="Times New Roman" w:cs="Times New Roman"/>
        </w:rPr>
        <w:t xml:space="preserve"> Successful, Ongoing </w:t>
      </w:r>
    </w:p>
    <w:p w14:paraId="7EC3CA29" w14:textId="77777777"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14:paraId="382F95C9" w14:textId="77777777"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64384" behindDoc="0" locked="0" layoutInCell="1" allowOverlap="1" wp14:anchorId="26709B1D" wp14:editId="48FB7CA7">
                <wp:simplePos x="0" y="0"/>
                <wp:positionH relativeFrom="column">
                  <wp:posOffset>0</wp:posOffset>
                </wp:positionH>
                <wp:positionV relativeFrom="paragraph">
                  <wp:posOffset>-635</wp:posOffset>
                </wp:positionV>
                <wp:extent cx="6019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CD2757"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" strokecolor="#5b9bd5" strokeweight=".5pt">
                <v:stroke joinstyle="miter"/>
              </v:line>
            </w:pict>
          </mc:Fallback>
        </mc:AlternateContent>
      </w:r>
    </w:p>
    <w:p w14:paraId="1492027C"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1:7</w:t>
      </w:r>
      <w:r w:rsidR="003359B5" w:rsidRPr="00BA6536">
        <w:rPr>
          <w:rFonts w:eastAsia="Times New Roman" w:cs="Times New Roman"/>
          <w:b/>
        </w:rPr>
        <w:tab/>
        <w:t>Encourage and assist special districts and private service providers (mutual water companies etc.) to secure grants to improve and expand sewer and water capabilities and fire protection services. The County's participation will entail aiding districts in the preparation of grant applications and in compliance with environmental requirements.</w:t>
      </w:r>
    </w:p>
    <w:p w14:paraId="407606F2"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Environmental Health Department.</w:t>
      </w:r>
    </w:p>
    <w:p w14:paraId="0AF538BA"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14:paraId="7C8DDDA1"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The County has reached out to public and private water providers to help the entities comply with new regulatory requirements.</w:t>
      </w:r>
    </w:p>
    <w:p w14:paraId="697C742E"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6681EAF1" w14:textId="77777777"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211EFE6A" w14:textId="77777777"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65408" behindDoc="0" locked="0" layoutInCell="1" allowOverlap="1" wp14:anchorId="72E9F9B1" wp14:editId="151CF224">
                <wp:simplePos x="0" y="0"/>
                <wp:positionH relativeFrom="column">
                  <wp:posOffset>0</wp:posOffset>
                </wp:positionH>
                <wp:positionV relativeFrom="paragraph">
                  <wp:posOffset>-635</wp:posOffset>
                </wp:positionV>
                <wp:extent cx="60198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ED647B9"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" strokecolor="#5b9bd5" strokeweight=".5pt">
                <v:stroke joinstyle="miter"/>
              </v:line>
            </w:pict>
          </mc:Fallback>
        </mc:AlternateContent>
      </w:r>
    </w:p>
    <w:p w14:paraId="3D12DA56"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1:8</w:t>
      </w:r>
      <w:r w:rsidR="003359B5" w:rsidRPr="00BA6536">
        <w:rPr>
          <w:rFonts w:eastAsia="Times New Roman" w:cs="Times New Roman"/>
          <w:b/>
        </w:rPr>
        <w:tab/>
        <w:t>The County has identified its community centers as emergency shelters and has obtained funds to upgrade emergency generators at each site and to obtain an emergency services trailer for each community.</w:t>
      </w:r>
      <w:r w:rsidR="003359B5" w:rsidRPr="00BA6536">
        <w:rPr>
          <w:rFonts w:eastAsia="Times New Roman" w:cs="Times New Roman"/>
        </w:rPr>
        <w:t xml:space="preserve"> </w:t>
      </w:r>
      <w:r w:rsidR="003359B5" w:rsidRPr="00BA6536">
        <w:rPr>
          <w:rFonts w:eastAsia="Times New Roman" w:cs="Times New Roman"/>
          <w:b/>
        </w:rPr>
        <w:t>Monitor the need for permanent emergency shelters. Apply for emergency housing funds available from the Department of Housing and Community Development or other state or federal agencies when it is determined that there is an unmet need for emergency housing.</w:t>
      </w:r>
    </w:p>
    <w:p w14:paraId="174EE711"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Mono County Housing Authority, Mono County Office of Emergency Services.</w:t>
      </w:r>
    </w:p>
    <w:p w14:paraId="49033823" w14:textId="77777777" w:rsidR="003359B5" w:rsidRPr="00BA6536" w:rsidRDefault="003359B5" w:rsidP="003359B5">
      <w:pPr>
        <w:spacing w:after="0" w:line="280" w:lineRule="atLeast"/>
        <w:ind w:left="1260" w:hanging="1260"/>
        <w:jc w:val="both"/>
        <w:rPr>
          <w:rFonts w:eastAsia="Times New Roman" w:cs="Times New Roman"/>
        </w:rPr>
      </w:pPr>
      <w:r w:rsidRPr="00BA6536">
        <w:rPr>
          <w:rFonts w:eastAsia="Times New Roman" w:cs="Times New Roman"/>
        </w:rPr>
        <w:t>Timeframe: Ongoing, 2007-2014.</w:t>
      </w:r>
    </w:p>
    <w:p w14:paraId="1B8D8310"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County has installed emergency generators and stationed an emergency trailer at each community center.  There has been no need for permanent or long term emergency shelters.</w:t>
      </w:r>
    </w:p>
    <w:p w14:paraId="1EE9C951"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09DCED5D" w14:textId="77777777"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The emergency generator and emergency trailers will be removed from the program, monitoring for permanent shelter needs will continue.</w:t>
      </w:r>
    </w:p>
    <w:p w14:paraId="7B8AC074" w14:textId="77777777" w:rsidR="003359B5" w:rsidRPr="00BA6536" w:rsidRDefault="003359B5" w:rsidP="003359B5">
      <w:pPr>
        <w:spacing w:after="0" w:line="280" w:lineRule="atLeast"/>
        <w:ind w:left="1080" w:hanging="1080"/>
        <w:jc w:val="both"/>
        <w:rPr>
          <w:rFonts w:eastAsia="Times New Roman" w:cs="Times New Roman"/>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66432" behindDoc="0" locked="0" layoutInCell="1" allowOverlap="1" wp14:anchorId="128205DB" wp14:editId="21274D92">
                <wp:simplePos x="0" y="0"/>
                <wp:positionH relativeFrom="column">
                  <wp:posOffset>0</wp:posOffset>
                </wp:positionH>
                <wp:positionV relativeFrom="paragraph">
                  <wp:posOffset>-635</wp:posOffset>
                </wp:positionV>
                <wp:extent cx="60198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80D5D17"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Htd1Ej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150620C6"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1:9</w:t>
      </w:r>
      <w:r w:rsidR="003359B5" w:rsidRPr="00BA6536">
        <w:rPr>
          <w:rFonts w:eastAsia="Times New Roman" w:cs="Times New Roman"/>
          <w:b/>
        </w:rPr>
        <w:tab/>
        <w:t>Ensure that the County's Multi-Hazard Functional Plan, prepared by the County's Office of Emergency Services, remains up-to-date. The Multi-Hazard Functional Plan contains policies and procedures for housing victims of natural hazards or accidents.</w:t>
      </w:r>
    </w:p>
    <w:p w14:paraId="2723FE82"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Mono County Office of Emergency Services.</w:t>
      </w:r>
    </w:p>
    <w:p w14:paraId="2AE78C02"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 xml:space="preserve">Timeframe: </w:t>
      </w:r>
      <w:r w:rsidR="00FA5779" w:rsidRPr="00BA6536">
        <w:rPr>
          <w:rFonts w:eastAsia="Times New Roman" w:cs="Times New Roman"/>
        </w:rPr>
        <w:t>2014</w:t>
      </w:r>
    </w:p>
    <w:p w14:paraId="0FF2E6D8"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00B021DB" w:rsidRPr="00BA6536">
        <w:rPr>
          <w:rFonts w:eastAsia="Times New Roman" w:cs="Times New Roman"/>
        </w:rPr>
        <w:t>Pl</w:t>
      </w:r>
      <w:r w:rsidR="00C8362E" w:rsidRPr="00BA6536">
        <w:rPr>
          <w:rFonts w:eastAsia="Times New Roman" w:cs="Times New Roman"/>
        </w:rPr>
        <w:t>an is maintained by the Office o</w:t>
      </w:r>
      <w:r w:rsidR="00B021DB" w:rsidRPr="00BA6536">
        <w:rPr>
          <w:rFonts w:eastAsia="Times New Roman" w:cs="Times New Roman"/>
        </w:rPr>
        <w:t>f Emergency Services.</w:t>
      </w:r>
      <w:r w:rsidR="00B021DB" w:rsidRPr="00BA6536">
        <w:rPr>
          <w:rFonts w:eastAsia="Times New Roman" w:cs="Times New Roman"/>
          <w:b/>
        </w:rPr>
        <w:t xml:space="preserve">  </w:t>
      </w:r>
    </w:p>
    <w:p w14:paraId="748EB632"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B021DB" w:rsidRPr="00BA6536">
        <w:rPr>
          <w:rFonts w:eastAsia="Times New Roman" w:cs="Times New Roman"/>
        </w:rPr>
        <w:t>Successful, Ongoing.</w:t>
      </w:r>
    </w:p>
    <w:p w14:paraId="21F0922E" w14:textId="77777777" w:rsidR="003359B5" w:rsidRPr="00BA6536" w:rsidRDefault="003359B5" w:rsidP="003359B5">
      <w:pPr>
        <w:spacing w:after="0" w:line="280" w:lineRule="atLeast"/>
        <w:ind w:left="1080" w:hanging="1080"/>
        <w:jc w:val="both"/>
        <w:rPr>
          <w:rFonts w:eastAsia="Times New Roman" w:cs="Times New Roman"/>
        </w:rPr>
      </w:pPr>
      <w:r w:rsidRPr="00BA6536">
        <w:rPr>
          <w:rFonts w:eastAsia="Times New Roman" w:cs="Times New Roman"/>
          <w:b/>
        </w:rPr>
        <w:t>Adjustments to Program:</w:t>
      </w:r>
      <w:r w:rsidR="00B021DB" w:rsidRPr="00BA6536">
        <w:rPr>
          <w:rFonts w:eastAsia="Times New Roman" w:cs="Times New Roman"/>
          <w:b/>
        </w:rPr>
        <w:t xml:space="preserve"> </w:t>
      </w:r>
      <w:r w:rsidR="00B021DB" w:rsidRPr="00BA6536">
        <w:rPr>
          <w:rFonts w:eastAsia="Times New Roman" w:cs="Times New Roman"/>
        </w:rPr>
        <w:t xml:space="preserve">Program will </w:t>
      </w:r>
      <w:r w:rsidR="00C8362E" w:rsidRPr="00BA6536">
        <w:rPr>
          <w:rFonts w:eastAsia="Times New Roman" w:cs="Times New Roman"/>
        </w:rPr>
        <w:t>be adjusted to include coordination with updates of the LHMP and the CWPP.</w:t>
      </w:r>
    </w:p>
    <w:p w14:paraId="2524A57C" w14:textId="77777777" w:rsidR="00C8362E" w:rsidRPr="00BA6536" w:rsidRDefault="00C8362E" w:rsidP="003359B5">
      <w:pPr>
        <w:spacing w:after="0" w:line="280" w:lineRule="atLeast"/>
        <w:ind w:left="1080" w:hanging="1080"/>
        <w:jc w:val="both"/>
        <w:rPr>
          <w:rFonts w:ascii="Times New Roman" w:eastAsia="Times New Roman" w:hAnsi="Times New Roman" w:cs="Times New Roman"/>
          <w:b/>
          <w:sz w:val="24"/>
          <w:szCs w:val="20"/>
        </w:rPr>
      </w:pPr>
    </w:p>
    <w:p w14:paraId="09ED576C" w14:textId="77777777"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67456" behindDoc="0" locked="0" layoutInCell="1" allowOverlap="1" wp14:anchorId="7BD7978D" wp14:editId="18DE014C">
                <wp:simplePos x="0" y="0"/>
                <wp:positionH relativeFrom="column">
                  <wp:posOffset>0</wp:posOffset>
                </wp:positionH>
                <wp:positionV relativeFrom="paragraph">
                  <wp:posOffset>-635</wp:posOffset>
                </wp:positionV>
                <wp:extent cx="60198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4FC8787"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LaXA+f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713F87BF"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 xml:space="preserve">Program 1:10 </w:t>
      </w:r>
      <w:r w:rsidR="003359B5" w:rsidRPr="00BA6536">
        <w:rPr>
          <w:rFonts w:eastAsia="Times New Roman" w:cs="Times New Roman"/>
          <w:b/>
        </w:rPr>
        <w:tab/>
        <w:t>Continue to provide short-term housing for homeless persons and to monitor the need to increase services for homeless persons.</w:t>
      </w:r>
    </w:p>
    <w:p w14:paraId="2D47AF76"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Department of Social Services, IMACA.</w:t>
      </w:r>
    </w:p>
    <w:p w14:paraId="32230C1F"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14:paraId="0594DB54"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County con</w:t>
      </w:r>
      <w:r w:rsidR="006465DE" w:rsidRPr="00BA6536">
        <w:rPr>
          <w:rFonts w:eastAsia="Times New Roman" w:cs="Times New Roman"/>
        </w:rPr>
        <w:t>tinues to provide for a small n</w:t>
      </w:r>
      <w:r w:rsidRPr="00BA6536">
        <w:rPr>
          <w:rFonts w:eastAsia="Times New Roman" w:cs="Times New Roman"/>
        </w:rPr>
        <w:t>umber of homeless persons with a voucher program.</w:t>
      </w:r>
    </w:p>
    <w:p w14:paraId="3AAEE5BB"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62B003F5" w14:textId="77777777" w:rsidR="003359B5" w:rsidRPr="00BA6536" w:rsidRDefault="003359B5" w:rsidP="003359B5">
      <w:pPr>
        <w:tabs>
          <w:tab w:val="left" w:pos="1620"/>
        </w:tabs>
        <w:spacing w:after="0" w:line="280" w:lineRule="atLeast"/>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1594C3B8" w14:textId="77777777" w:rsidR="003359B5" w:rsidRPr="00BA6536" w:rsidRDefault="003359B5" w:rsidP="003359B5">
      <w:pPr>
        <w:tabs>
          <w:tab w:val="left" w:pos="1620"/>
        </w:tabs>
        <w:spacing w:after="0" w:line="280" w:lineRule="atLeast"/>
        <w:ind w:left="1080"/>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68480" behindDoc="0" locked="0" layoutInCell="1" allowOverlap="1" wp14:anchorId="17E48ADE" wp14:editId="35B01A5A">
                <wp:simplePos x="0" y="0"/>
                <wp:positionH relativeFrom="column">
                  <wp:posOffset>0</wp:posOffset>
                </wp:positionH>
                <wp:positionV relativeFrom="paragraph">
                  <wp:posOffset>-635</wp:posOffset>
                </wp:positionV>
                <wp:extent cx="60198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F0FFFFF"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rMyA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HsVlJ4cDyjl4Rg&#10;hjGJXfCeFQwoOMhKTZEaLtj5A84exQNm2uceXf5nQuJc1L3c1NXnJBRf3tXLh/uah6BeY9WvwoiU&#10;PungRDZaaY3PxKGB02dK3IxTX1PytQ/PxtoyPOvFxOAf1xkZeIV6C4lNF5kU+UEKsAPvpkpYEClY&#10;0+XqjEM4HHcWxQl4P9ZPD0/7dSbK3X5Ly633QOM1r4Sum+NM4vW1xrWSqfFvrrY+o+uygDOBLN5V&#10;rmwdQ3cpKlbZ4+GWpvMi5u1567P99nPZ/gQ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KDOCsz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07252B09"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11</w:t>
      </w:r>
      <w:r w:rsidR="003359B5" w:rsidRPr="00BA6536">
        <w:rPr>
          <w:rFonts w:eastAsia="Times New Roman" w:cs="Times New Roman"/>
          <w:b/>
        </w:rPr>
        <w:tab/>
        <w:t>Implement housing policies contained in area plans, such as the June Lake Area Plan.</w:t>
      </w:r>
    </w:p>
    <w:p w14:paraId="37F0ACCC"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w:t>
      </w:r>
    </w:p>
    <w:p w14:paraId="2721CE40"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14:paraId="56F2334F" w14:textId="77777777" w:rsidR="003359B5" w:rsidRPr="00BA6536" w:rsidRDefault="003359B5" w:rsidP="00FC4C68">
      <w:pPr>
        <w:tabs>
          <w:tab w:val="left" w:pos="1080"/>
          <w:tab w:val="left" w:pos="1260"/>
        </w:tabs>
        <w:spacing w:after="0" w:line="280" w:lineRule="atLeast"/>
        <w:ind w:left="900" w:hanging="90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Policies within </w:t>
      </w:r>
      <w:r w:rsidR="00FC4C68" w:rsidRPr="00BA6536">
        <w:rPr>
          <w:rFonts w:eastAsia="Times New Roman" w:cs="Times New Roman"/>
        </w:rPr>
        <w:t xml:space="preserve">all of the area plans have been reviewed and all but one are cross implemented by existing Housing Element programs.    </w:t>
      </w:r>
      <w:r w:rsidRPr="00BA6536">
        <w:rPr>
          <w:rFonts w:eastAsia="Times New Roman" w:cs="Times New Roman"/>
        </w:rPr>
        <w:t xml:space="preserve"> </w:t>
      </w:r>
    </w:p>
    <w:p w14:paraId="24A7312C"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Completed, Ongoing.</w:t>
      </w:r>
    </w:p>
    <w:p w14:paraId="3D1625CC" w14:textId="77777777"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00FC4C68" w:rsidRPr="00BA6536">
        <w:rPr>
          <w:rFonts w:eastAsia="Times New Roman" w:cs="Times New Roman"/>
        </w:rPr>
        <w:t>Program will be altered to be more specific regarding June Lake workforce housing policy from June Lake Area Plan.</w:t>
      </w:r>
    </w:p>
    <w:p w14:paraId="15B4E186" w14:textId="77777777"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69504" behindDoc="0" locked="0" layoutInCell="1" allowOverlap="1" wp14:anchorId="3FEFAEE9" wp14:editId="6915EDAB">
                <wp:simplePos x="0" y="0"/>
                <wp:positionH relativeFrom="column">
                  <wp:posOffset>0</wp:posOffset>
                </wp:positionH>
                <wp:positionV relativeFrom="paragraph">
                  <wp:posOffset>-635</wp:posOffset>
                </wp:positionV>
                <wp:extent cx="60198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F4944A8"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G0E3WP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573C800F"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12</w:t>
      </w:r>
      <w:r w:rsidR="003359B5" w:rsidRPr="00BA6536">
        <w:rPr>
          <w:rFonts w:eastAsia="Times New Roman" w:cs="Times New Roman"/>
          <w:b/>
        </w:rPr>
        <w:tab/>
        <w:t>Consistent with the Land Use Element, continue to require specific plans for large-scale development within community expansion areas. Specific plans allow for a variety of development and can streamline the development process.</w:t>
      </w:r>
    </w:p>
    <w:p w14:paraId="4709A9FF"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w:t>
      </w:r>
    </w:p>
    <w:p w14:paraId="58CB80B7"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14:paraId="1215C799"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Specific plans continue to be required.</w:t>
      </w:r>
    </w:p>
    <w:p w14:paraId="6896E743"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0032D567" w14:textId="77777777" w:rsidR="003359B5" w:rsidRPr="00BA6536" w:rsidRDefault="003359B5" w:rsidP="003359B5">
      <w:pPr>
        <w:spacing w:after="0" w:line="280" w:lineRule="atLeast"/>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39317EA6" w14:textId="77777777" w:rsidR="003359B5" w:rsidRPr="00BA6536" w:rsidRDefault="003359B5" w:rsidP="003359B5">
      <w:pPr>
        <w:spacing w:after="0" w:line="280" w:lineRule="atLeast"/>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0528" behindDoc="0" locked="0" layoutInCell="1" allowOverlap="1" wp14:anchorId="094BAED6" wp14:editId="377F08EE">
                <wp:simplePos x="0" y="0"/>
                <wp:positionH relativeFrom="column">
                  <wp:posOffset>0</wp:posOffset>
                </wp:positionH>
                <wp:positionV relativeFrom="paragraph">
                  <wp:posOffset>-635</wp:posOffset>
                </wp:positionV>
                <wp:extent cx="60198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E8874B7"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MfBia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3AD482EB"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13</w:t>
      </w:r>
      <w:r>
        <w:rPr>
          <w:rFonts w:eastAsia="Times New Roman" w:cs="Times New Roman"/>
          <w:b/>
        </w:rPr>
        <w:t xml:space="preserve"> </w:t>
      </w:r>
      <w:r w:rsidR="003359B5" w:rsidRPr="00BA6536">
        <w:rPr>
          <w:rFonts w:eastAsia="Times New Roman" w:cs="Times New Roman"/>
          <w:b/>
        </w:rPr>
        <w:tab/>
        <w:t xml:space="preserve">In conformance with state law, continue to permit manufactured housing on all parcels designated for conventional single-family residences. </w:t>
      </w:r>
    </w:p>
    <w:p w14:paraId="05AF46B8"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w:t>
      </w:r>
    </w:p>
    <w:p w14:paraId="3038B00D"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14:paraId="09C6A6D6" w14:textId="77777777" w:rsidR="003359B5" w:rsidRPr="00BA6536" w:rsidRDefault="003359B5" w:rsidP="003359B5">
      <w:pPr>
        <w:tabs>
          <w:tab w:val="left" w:pos="162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35 manufactured homes have been permitted since 2007, several within community areas designated for conventional single-family residences.</w:t>
      </w:r>
      <w:r w:rsidRPr="00BA6536">
        <w:rPr>
          <w:rFonts w:eastAsia="Times New Roman" w:cs="Times New Roman"/>
          <w:b/>
        </w:rPr>
        <w:t xml:space="preserve"> </w:t>
      </w:r>
      <w:r w:rsidRPr="00BA6536">
        <w:rPr>
          <w:rFonts w:eastAsia="Times New Roman" w:cs="Times New Roman"/>
        </w:rPr>
        <w:t>Development regulations have been changed to allow more flexibility in the type of manufactured homes allowed.</w:t>
      </w:r>
    </w:p>
    <w:p w14:paraId="24FB177E"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4FC0F5A5"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Program will continue.</w:t>
      </w:r>
    </w:p>
    <w:p w14:paraId="389C8F9C" w14:textId="77777777" w:rsidR="003359B5" w:rsidRPr="00BA6536" w:rsidRDefault="003359B5" w:rsidP="006465DE">
      <w:pPr>
        <w:spacing w:before="240" w:after="0" w:line="280" w:lineRule="atLeast"/>
        <w:ind w:left="1260" w:hanging="1260"/>
        <w:jc w:val="both"/>
        <w:rPr>
          <w:rFonts w:eastAsia="Times New Roman" w:cs="Times New Roman"/>
          <w:b/>
        </w:rPr>
      </w:pPr>
      <w:r w:rsidRPr="00BA6536">
        <w:rPr>
          <w:rFonts w:eastAsia="Times New Roman" w:cs="Times New Roman"/>
          <w:noProof/>
        </w:rPr>
        <mc:AlternateContent>
          <mc:Choice Requires="wps">
            <w:drawing>
              <wp:anchor distT="0" distB="0" distL="114300" distR="114300" simplePos="0" relativeHeight="251685888" behindDoc="0" locked="0" layoutInCell="1" allowOverlap="1" wp14:anchorId="1F866D5A" wp14:editId="031DD5D7">
                <wp:simplePos x="0" y="0"/>
                <wp:positionH relativeFrom="column">
                  <wp:posOffset>0</wp:posOffset>
                </wp:positionH>
                <wp:positionV relativeFrom="paragraph">
                  <wp:posOffset>-635</wp:posOffset>
                </wp:positionV>
                <wp:extent cx="60198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B0E99D6" id="Straight Connector 1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EG2zzXIAQAAdgMAAA4AAAAAAAAAAAAA&#10;AAAALgIAAGRycy9lMm9Eb2MueG1sUEsBAi0AFAAGAAgAAAAhACVhT+3aAAAABAEAAA8AAAAAAAAA&#10;AAAAAAAAIgQAAGRycy9kb3ducmV2LnhtbFBLBQYAAAAABAAEAPMAAAApBQAAAAA=&#10;" strokecolor="#5b9bd5" strokeweight=".5pt">
                <v:stroke joinstyle="miter"/>
              </v:line>
            </w:pict>
          </mc:Fallback>
        </mc:AlternateContent>
      </w:r>
      <w:r w:rsidR="00022FE4">
        <w:rPr>
          <w:rFonts w:eastAsia="Times New Roman" w:cs="Times New Roman"/>
          <w:b/>
        </w:rPr>
        <w:t>Program 1:</w:t>
      </w:r>
      <w:r w:rsidR="008024AB" w:rsidRPr="00BA6536">
        <w:rPr>
          <w:rFonts w:eastAsia="Times New Roman" w:cs="Times New Roman"/>
          <w:b/>
        </w:rPr>
        <w:t>14</w:t>
      </w:r>
      <w:r w:rsidRPr="00BA6536">
        <w:rPr>
          <w:rFonts w:eastAsia="Times New Roman" w:cs="Times New Roman"/>
          <w:b/>
        </w:rPr>
        <w:tab/>
      </w:r>
      <w:r w:rsidR="00022FE4">
        <w:rPr>
          <w:rFonts w:eastAsia="Times New Roman" w:cs="Times New Roman"/>
          <w:b/>
        </w:rPr>
        <w:t xml:space="preserve"> </w:t>
      </w:r>
      <w:r w:rsidRPr="00BA6536">
        <w:rPr>
          <w:rFonts w:eastAsia="Times New Roman" w:cs="Times New Roman"/>
          <w:b/>
        </w:rPr>
        <w:t>Continue to permit mobile-home parks on all land planned and designated for residential land use, in conformance with state law. This also applies to mobile-home developments intended for sale as mobile-home condos or cooperative parks, or as mobile-home planned unit developments.</w:t>
      </w:r>
    </w:p>
    <w:p w14:paraId="693E3740"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w:t>
      </w:r>
    </w:p>
    <w:p w14:paraId="12DA7B74"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14:paraId="62BEC584"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No mobile home parks have been proposed in last planning period.  </w:t>
      </w:r>
    </w:p>
    <w:p w14:paraId="4BAC3185"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27F4899E" w14:textId="77777777"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6B50451E" w14:textId="77777777"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1552" behindDoc="0" locked="0" layoutInCell="1" allowOverlap="1" wp14:anchorId="2AA138CD" wp14:editId="060CE3F3">
                <wp:simplePos x="0" y="0"/>
                <wp:positionH relativeFrom="column">
                  <wp:posOffset>0</wp:posOffset>
                </wp:positionH>
                <wp:positionV relativeFrom="paragraph">
                  <wp:posOffset>0</wp:posOffset>
                </wp:positionV>
                <wp:extent cx="60198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5EFE546"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" strokecolor="#5b9bd5" strokeweight=".5pt">
                <v:stroke joinstyle="miter"/>
              </v:line>
            </w:pict>
          </mc:Fallback>
        </mc:AlternateContent>
      </w:r>
    </w:p>
    <w:p w14:paraId="01787E1F" w14:textId="77777777" w:rsidR="003359B5" w:rsidRPr="00BA6536" w:rsidRDefault="00022FE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15</w:t>
      </w:r>
      <w:r>
        <w:rPr>
          <w:rFonts w:eastAsia="Times New Roman" w:cs="Times New Roman"/>
          <w:b/>
        </w:rPr>
        <w:t xml:space="preserve"> </w:t>
      </w:r>
      <w:r w:rsidR="003359B5" w:rsidRPr="00BA6536">
        <w:rPr>
          <w:rFonts w:eastAsia="Times New Roman" w:cs="Times New Roman"/>
          <w:b/>
        </w:rPr>
        <w:tab/>
        <w:t>Continue to implement the land development regulations regarding Manufactured Housing Subdivisions. These regulations provide for a higher density of single-family development and a relaxation of development standards.</w:t>
      </w:r>
    </w:p>
    <w:p w14:paraId="068B263C" w14:textId="77777777" w:rsidR="003359B5" w:rsidRPr="00BA6536" w:rsidRDefault="003359B5" w:rsidP="003359B5">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w:t>
      </w:r>
    </w:p>
    <w:p w14:paraId="23467D67" w14:textId="77777777" w:rsidR="003359B5" w:rsidRPr="00BA6536" w:rsidRDefault="003359B5" w:rsidP="003359B5">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14:paraId="6245A0D4"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rPr>
      </w:pPr>
      <w:r w:rsidRPr="00BA6536">
        <w:rPr>
          <w:rFonts w:eastAsia="Times New Roman" w:cs="Times New Roman"/>
          <w:b/>
        </w:rPr>
        <w:t xml:space="preserve">Progress: </w:t>
      </w:r>
      <w:r w:rsidRPr="00BA6536">
        <w:rPr>
          <w:rFonts w:eastAsia="Times New Roman" w:cs="Times New Roman"/>
        </w:rPr>
        <w:t>No applications to apply this designation to property were received.</w:t>
      </w:r>
    </w:p>
    <w:p w14:paraId="2437DFB6"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0E8E207D" w14:textId="77777777"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7D8106F1" w14:textId="77777777" w:rsidR="003359B5" w:rsidRPr="00BA6536" w:rsidRDefault="003359B5" w:rsidP="003359B5">
      <w:pPr>
        <w:spacing w:after="0" w:line="280" w:lineRule="atLeast"/>
        <w:ind w:left="1080" w:hanging="1080"/>
        <w:jc w:val="both"/>
        <w:rPr>
          <w:rFonts w:eastAsia="Times New Roman" w:cs="Times New Roman"/>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2576" behindDoc="0" locked="0" layoutInCell="1" allowOverlap="1" wp14:anchorId="379192BB" wp14:editId="66B6E546">
                <wp:simplePos x="0" y="0"/>
                <wp:positionH relativeFrom="column">
                  <wp:posOffset>0</wp:posOffset>
                </wp:positionH>
                <wp:positionV relativeFrom="paragraph">
                  <wp:posOffset>0</wp:posOffset>
                </wp:positionV>
                <wp:extent cx="60198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A52F7A0" id="Straight Connector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miURsc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14:paraId="59F439D8" w14:textId="77777777" w:rsidR="003359B5" w:rsidRPr="00BA6536" w:rsidRDefault="00D72B2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16</w:t>
      </w:r>
      <w:r>
        <w:rPr>
          <w:rFonts w:eastAsia="Times New Roman" w:cs="Times New Roman"/>
          <w:b/>
        </w:rPr>
        <w:t xml:space="preserve"> </w:t>
      </w:r>
      <w:r w:rsidR="003359B5" w:rsidRPr="00BA6536">
        <w:rPr>
          <w:rFonts w:eastAsia="Times New Roman" w:cs="Times New Roman"/>
          <w:b/>
        </w:rPr>
        <w:tab/>
        <w:t>Support a balance of jobs and housing in Mono County communities and the associated reduction in resident commute times by facilitating community job growth through economic development programs. Pursue grant funding for economic development projects that grow jobs and healthy communities capable of supporting more resident housing.</w:t>
      </w:r>
    </w:p>
    <w:p w14:paraId="095BFBB3" w14:textId="77777777" w:rsidR="003359B5" w:rsidRPr="00BA6536" w:rsidRDefault="003359B5" w:rsidP="003359B5">
      <w:pPr>
        <w:tabs>
          <w:tab w:val="left" w:pos="1440"/>
        </w:tabs>
        <w:spacing w:after="0" w:line="280" w:lineRule="atLeast"/>
        <w:ind w:left="1260" w:hanging="1260"/>
        <w:jc w:val="both"/>
        <w:rPr>
          <w:rFonts w:eastAsia="Times New Roman" w:cs="Times New Roman"/>
        </w:rPr>
      </w:pPr>
      <w:r w:rsidRPr="00BA6536">
        <w:rPr>
          <w:rFonts w:eastAsia="Times New Roman" w:cs="Times New Roman"/>
        </w:rPr>
        <w:t>Responsible Agencies:  Community Development &amp; Economic Development Department</w:t>
      </w:r>
    </w:p>
    <w:p w14:paraId="28D3A88B" w14:textId="77777777" w:rsidR="003359B5" w:rsidRPr="00BA6536" w:rsidRDefault="003359B5" w:rsidP="003359B5">
      <w:pPr>
        <w:tabs>
          <w:tab w:val="left" w:pos="1440"/>
        </w:tabs>
        <w:spacing w:after="0" w:line="280" w:lineRule="atLeast"/>
        <w:ind w:left="1260" w:hanging="1260"/>
        <w:jc w:val="both"/>
        <w:rPr>
          <w:rFonts w:eastAsia="Times New Roman" w:cs="Times New Roman"/>
        </w:rPr>
      </w:pPr>
      <w:r w:rsidRPr="00BA6536">
        <w:rPr>
          <w:rFonts w:eastAsia="Times New Roman" w:cs="Times New Roman"/>
        </w:rPr>
        <w:t>Timeframe:  Ongoing, 2007-2014.</w:t>
      </w:r>
    </w:p>
    <w:p w14:paraId="5AF59DE8"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Bridgeport Economic Developemnt Corporation has secured a grant to provide micro loans to small businesses. A countywide food systems study has been implemented.</w:t>
      </w:r>
      <w:r w:rsidRPr="00BA6536">
        <w:rPr>
          <w:rFonts w:eastAsia="Times New Roman" w:cs="Times New Roman"/>
          <w:b/>
        </w:rPr>
        <w:t xml:space="preserve">  </w:t>
      </w:r>
    </w:p>
    <w:p w14:paraId="1BB7BD14"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72DD5C0A" w14:textId="77777777"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3120D92E" w14:textId="77777777"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3600" behindDoc="0" locked="0" layoutInCell="1" allowOverlap="1" wp14:anchorId="1186AA5D" wp14:editId="764275E4">
                <wp:simplePos x="0" y="0"/>
                <wp:positionH relativeFrom="column">
                  <wp:posOffset>0</wp:posOffset>
                </wp:positionH>
                <wp:positionV relativeFrom="paragraph">
                  <wp:posOffset>-635</wp:posOffset>
                </wp:positionV>
                <wp:extent cx="60198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0A75E9"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NQYPTb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543882C4" w14:textId="77777777"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17</w:t>
      </w:r>
      <w:r>
        <w:rPr>
          <w:rFonts w:eastAsia="Times New Roman" w:cs="Times New Roman"/>
          <w:b/>
        </w:rPr>
        <w:t xml:space="preserve"> </w:t>
      </w:r>
      <w:r w:rsidR="003359B5" w:rsidRPr="00BA6536">
        <w:rPr>
          <w:rFonts w:eastAsia="Times New Roman" w:cs="Times New Roman"/>
          <w:b/>
        </w:rPr>
        <w:tab/>
        <w:t>Implement provisions in the General Plan and Subdivision Ordinance that permit smaller minimum lot sizes where consistent with area plans and available infrastructure.</w:t>
      </w:r>
    </w:p>
    <w:p w14:paraId="16FD76DE"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14C5D813"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14:paraId="04FF17F0"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rPr>
      </w:pPr>
      <w:r w:rsidRPr="00BA6536">
        <w:rPr>
          <w:rFonts w:eastAsia="Times New Roman" w:cs="Times New Roman"/>
          <w:b/>
        </w:rPr>
        <w:t xml:space="preserve">Progress:  </w:t>
      </w:r>
      <w:r w:rsidRPr="00BA6536">
        <w:rPr>
          <w:rFonts w:eastAsia="Times New Roman" w:cs="Times New Roman"/>
        </w:rPr>
        <w:t>No applications to apply this designation to property were received.</w:t>
      </w:r>
    </w:p>
    <w:p w14:paraId="49460D28"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1F738F80" w14:textId="77777777" w:rsidR="003359B5" w:rsidRPr="00BA6536" w:rsidRDefault="003359B5" w:rsidP="003359B5">
      <w:pPr>
        <w:tabs>
          <w:tab w:val="left" w:pos="1440"/>
        </w:tabs>
        <w:spacing w:after="0" w:line="280" w:lineRule="atLeast"/>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2F54DE6B" w14:textId="77777777" w:rsidR="003359B5" w:rsidRPr="00BA6536" w:rsidRDefault="003359B5" w:rsidP="003359B5">
      <w:pPr>
        <w:tabs>
          <w:tab w:val="left" w:pos="1440"/>
        </w:tabs>
        <w:spacing w:after="0" w:line="280" w:lineRule="atLeast"/>
        <w:ind w:left="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4624" behindDoc="0" locked="0" layoutInCell="1" allowOverlap="1" wp14:anchorId="6EB1B04C" wp14:editId="31C55935">
                <wp:simplePos x="0" y="0"/>
                <wp:positionH relativeFrom="column">
                  <wp:posOffset>0</wp:posOffset>
                </wp:positionH>
                <wp:positionV relativeFrom="paragraph">
                  <wp:posOffset>-635</wp:posOffset>
                </wp:positionV>
                <wp:extent cx="60198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A3409F9"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BnS6pn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65E57C32" w14:textId="77777777"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18</w:t>
      </w:r>
      <w:r>
        <w:rPr>
          <w:rFonts w:eastAsia="Times New Roman" w:cs="Times New Roman"/>
          <w:b/>
        </w:rPr>
        <w:t xml:space="preserve"> </w:t>
      </w:r>
      <w:r w:rsidR="003359B5" w:rsidRPr="00BA6536">
        <w:rPr>
          <w:rFonts w:eastAsia="Times New Roman" w:cs="Times New Roman"/>
          <w:b/>
        </w:rPr>
        <w:tab/>
        <w:t>Reexamine residential limitations in area plans where new sewer, water or other infrastructure requirements, such as fire-flow requirements, allow for greater single-family densities. Consider amending the General Plan and area plans to allow for higher single-family densities in these areas.</w:t>
      </w:r>
    </w:p>
    <w:p w14:paraId="2FDA7563"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6AD62E07" w14:textId="77777777" w:rsidR="003359B5" w:rsidRPr="00BA6536" w:rsidRDefault="003359B5" w:rsidP="003359B5">
      <w:pPr>
        <w:tabs>
          <w:tab w:val="left" w:pos="1440"/>
        </w:tabs>
        <w:spacing w:after="0" w:line="280" w:lineRule="atLeast"/>
        <w:jc w:val="both"/>
        <w:rPr>
          <w:rFonts w:eastAsia="Times New Roman" w:cs="Times New Roman"/>
        </w:rPr>
      </w:pPr>
      <w:r w:rsidRPr="00BA6536">
        <w:rPr>
          <w:rFonts w:eastAsia="Times New Roman" w:cs="Times New Roman"/>
        </w:rPr>
        <w:t>Timeframe: 2012.</w:t>
      </w:r>
    </w:p>
    <w:p w14:paraId="35B0C54B"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No applications to apply higher density to property were received.</w:t>
      </w:r>
      <w:r w:rsidRPr="00BA6536">
        <w:rPr>
          <w:rFonts w:eastAsia="Times New Roman" w:cs="Times New Roman"/>
          <w:b/>
        </w:rPr>
        <w:t xml:space="preserve"> </w:t>
      </w:r>
    </w:p>
    <w:p w14:paraId="598DA6BC"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2A4267FE" w14:textId="77777777" w:rsidR="003359B5" w:rsidRPr="00BA6536" w:rsidRDefault="003359B5" w:rsidP="003359B5">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509C521D" w14:textId="77777777" w:rsidR="003359B5" w:rsidRPr="00BA6536" w:rsidRDefault="003359B5" w:rsidP="003359B5">
      <w:pPr>
        <w:spacing w:after="0" w:line="280" w:lineRule="atLeast"/>
        <w:ind w:left="1080" w:hanging="1080"/>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75648" behindDoc="0" locked="0" layoutInCell="1" allowOverlap="1" wp14:anchorId="7AFC1AFF" wp14:editId="34A49330">
                <wp:simplePos x="0" y="0"/>
                <wp:positionH relativeFrom="column">
                  <wp:posOffset>0</wp:posOffset>
                </wp:positionH>
                <wp:positionV relativeFrom="paragraph">
                  <wp:posOffset>-635</wp:posOffset>
                </wp:positionV>
                <wp:extent cx="60198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272364B" id="Straight Connector 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HPhK7z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18071062" w14:textId="77777777"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19</w:t>
      </w:r>
      <w:r>
        <w:rPr>
          <w:rFonts w:eastAsia="Times New Roman" w:cs="Times New Roman"/>
          <w:b/>
        </w:rPr>
        <w:t xml:space="preserve"> </w:t>
      </w:r>
      <w:r w:rsidR="003359B5" w:rsidRPr="00BA6536">
        <w:rPr>
          <w:rFonts w:eastAsia="Times New Roman" w:cs="Times New Roman"/>
          <w:b/>
        </w:rPr>
        <w:tab/>
        <w:t>Continue to allow for mixed-use development as a method of increasing the land base available for housing.</w:t>
      </w:r>
    </w:p>
    <w:p w14:paraId="620C3E04"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0AB4050F"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14:paraId="3732CF9D"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A mixed use project was permitted and constructed in Crowley lake and a mixed use project was permitted in the Mono Basin during the planning period.</w:t>
      </w:r>
    </w:p>
    <w:p w14:paraId="33539899"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2911E1E7" w14:textId="77777777" w:rsidR="003359B5" w:rsidRPr="00BA6536" w:rsidRDefault="003359B5" w:rsidP="003359B5">
      <w:pPr>
        <w:tabs>
          <w:tab w:val="left" w:pos="1440"/>
        </w:tabs>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2E1416DD" w14:textId="77777777" w:rsidR="003359B5" w:rsidRPr="00BA6536" w:rsidRDefault="003359B5" w:rsidP="003359B5">
      <w:pPr>
        <w:tabs>
          <w:tab w:val="left" w:pos="144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6672" behindDoc="0" locked="0" layoutInCell="1" allowOverlap="1" wp14:anchorId="28AF574E" wp14:editId="69B50E05">
                <wp:simplePos x="0" y="0"/>
                <wp:positionH relativeFrom="column">
                  <wp:posOffset>0</wp:posOffset>
                </wp:positionH>
                <wp:positionV relativeFrom="paragraph">
                  <wp:posOffset>-635</wp:posOffset>
                </wp:positionV>
                <wp:extent cx="60198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AD43CB3" id="Straight Connector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yQ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7VytZTCg+MZvSQE&#10;M4xJ7IL3rGBAwUFWaorUcMHOH3D2KB4w0z736PI/ExLnou7lpq4+J6H48q5ePtzXPAT1Gqt+FUak&#10;9EkHJ7LRSmt8Jg4NnD5T4mac+pqSr314NtaW4VkvJgb/uM7IwCvUW0hsusikyA9SgB14N1XCgkjB&#10;mi5XZxzC4bizKE7A+7F+enjarzNR7vZbWm69BxqveSV03RxnEq+vNa6VTI1/c7X1GV2XBZwJZPGu&#10;cmXrGLpLUbHKHg+3NJ0XMW/PW5/tt5/L9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K/wT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53BDDBC0" w14:textId="77777777"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20</w:t>
      </w:r>
      <w:r>
        <w:rPr>
          <w:rFonts w:eastAsia="Times New Roman" w:cs="Times New Roman"/>
          <w:b/>
        </w:rPr>
        <w:t xml:space="preserve"> </w:t>
      </w:r>
      <w:r w:rsidR="003359B5" w:rsidRPr="00BA6536">
        <w:rPr>
          <w:rFonts w:eastAsia="Times New Roman" w:cs="Times New Roman"/>
          <w:b/>
        </w:rPr>
        <w:tab/>
        <w:t>Continue to allow for residential development in the commercial land use designation to more efficiently and economically utilize the county’s limited land base for housing.</w:t>
      </w:r>
    </w:p>
    <w:p w14:paraId="35A428D2"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75BED27C"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14:paraId="349DC2DA"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Two homes were permitted and constructed in commercial land use designations during the planning period.</w:t>
      </w:r>
      <w:r w:rsidRPr="00BA6536">
        <w:rPr>
          <w:rFonts w:eastAsia="Times New Roman" w:cs="Times New Roman"/>
          <w:b/>
        </w:rPr>
        <w:t xml:space="preserve"> </w:t>
      </w:r>
    </w:p>
    <w:p w14:paraId="2348FCF0"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421C5190" w14:textId="77777777" w:rsidR="003359B5" w:rsidRPr="00BA6536" w:rsidRDefault="003359B5" w:rsidP="003359B5">
      <w:pPr>
        <w:tabs>
          <w:tab w:val="left" w:pos="1440"/>
        </w:tabs>
        <w:spacing w:after="0" w:line="280" w:lineRule="atLeast"/>
        <w:ind w:left="1260" w:hanging="126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5371DB00" w14:textId="77777777" w:rsidR="003359B5" w:rsidRPr="00BA6536" w:rsidRDefault="003359B5" w:rsidP="003359B5">
      <w:pPr>
        <w:tabs>
          <w:tab w:val="left" w:pos="1440"/>
        </w:tabs>
        <w:spacing w:after="0" w:line="280" w:lineRule="atLeast"/>
        <w:ind w:left="1260" w:hanging="126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7696" behindDoc="0" locked="0" layoutInCell="1" allowOverlap="1" wp14:anchorId="61E7C8FB" wp14:editId="141625FE">
                <wp:simplePos x="0" y="0"/>
                <wp:positionH relativeFrom="column">
                  <wp:posOffset>0</wp:posOffset>
                </wp:positionH>
                <wp:positionV relativeFrom="paragraph">
                  <wp:posOffset>-635</wp:posOffset>
                </wp:positionV>
                <wp:extent cx="60198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E889747" id="Straight Connector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U4yQ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7VytZLCg+MZvSQE&#10;M4xJ7IL3rGBAwUFWaorUcMHOH3D2KB4w0z736PI/ExLnou7lpq4+J6H48q5ePtzXPAT1Gqt+FUak&#10;9EkHJ7LRSmt8Jg4NnD5T4mac+pqSr314NtaW4VkvJgb/uM7IwCvUW0hsusikyA9SgB14N1XCgkjB&#10;mi5XZxzC4bizKE7A+7F+enjarzNR7vZbWm69BxqveSV03RxnEq+vNa6VTI1/c7X1GV2XBZwJZPGu&#10;cmXrGLpLUbHKHg+3NJ0XMW/PW5/tt5/L9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ocvU4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51EB7919" w14:textId="77777777"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21</w:t>
      </w:r>
      <w:r>
        <w:rPr>
          <w:rFonts w:eastAsia="Times New Roman" w:cs="Times New Roman"/>
          <w:b/>
        </w:rPr>
        <w:t xml:space="preserve"> </w:t>
      </w:r>
      <w:r w:rsidR="003359B5" w:rsidRPr="00BA6536">
        <w:rPr>
          <w:rFonts w:eastAsia="Times New Roman" w:cs="Times New Roman"/>
          <w:b/>
        </w:rPr>
        <w:tab/>
        <w:t xml:space="preserve">Consider amending the General Plan and subdivision ordinance to allow for greater flexibility in subdivision design to encourage clustering, zero lot line and common-wall developments, and other residential design strategies that allow for development at the gross allowable density while preserving sensitive site features. </w:t>
      </w:r>
    </w:p>
    <w:p w14:paraId="519195B6"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59295AF5"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2010.</w:t>
      </w:r>
    </w:p>
    <w:p w14:paraId="22933BCD" w14:textId="77777777" w:rsidR="003359B5" w:rsidRPr="00BA6536" w:rsidRDefault="003359B5" w:rsidP="005F32BE">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005F32BE" w:rsidRPr="00BA6536">
        <w:rPr>
          <w:rFonts w:eastAsia="Times New Roman" w:cs="Times New Roman"/>
        </w:rPr>
        <w:t xml:space="preserve">A multi department effort to revise of the sub-division and grading ordiancne is underway and currently in legal review.  </w:t>
      </w:r>
    </w:p>
    <w:p w14:paraId="0569F64D"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5F32BE" w:rsidRPr="00BA6536">
        <w:rPr>
          <w:rFonts w:eastAsia="Times New Roman" w:cs="Times New Roman"/>
        </w:rPr>
        <w:t>Successul, Ongoing</w:t>
      </w:r>
    </w:p>
    <w:p w14:paraId="4D1A9EBF" w14:textId="77777777" w:rsidR="003359B5" w:rsidRPr="00BA6536" w:rsidRDefault="003359B5" w:rsidP="003359B5">
      <w:pPr>
        <w:tabs>
          <w:tab w:val="left" w:pos="1440"/>
        </w:tabs>
        <w:spacing w:after="0" w:line="280" w:lineRule="atLeast"/>
        <w:jc w:val="both"/>
        <w:rPr>
          <w:rFonts w:eastAsia="Times New Roman" w:cs="Times New Roman"/>
          <w:b/>
        </w:rPr>
      </w:pPr>
      <w:r w:rsidRPr="00BA6536">
        <w:rPr>
          <w:rFonts w:eastAsia="Times New Roman" w:cs="Times New Roman"/>
          <w:b/>
        </w:rPr>
        <w:t>Adjustments to Program:</w:t>
      </w:r>
      <w:r w:rsidR="005F32BE" w:rsidRPr="00BA6536">
        <w:rPr>
          <w:rFonts w:eastAsia="Times New Roman" w:cs="Times New Roman"/>
          <w:b/>
        </w:rPr>
        <w:t xml:space="preserve"> </w:t>
      </w:r>
      <w:r w:rsidR="005F32BE" w:rsidRPr="00BA6536">
        <w:rPr>
          <w:rFonts w:eastAsia="Times New Roman" w:cs="Times New Roman"/>
        </w:rPr>
        <w:t xml:space="preserve">Program will continue. </w:t>
      </w:r>
    </w:p>
    <w:p w14:paraId="1148D6C3" w14:textId="77777777" w:rsidR="003359B5" w:rsidRPr="00BA6536" w:rsidRDefault="003359B5" w:rsidP="003359B5">
      <w:pPr>
        <w:tabs>
          <w:tab w:val="left" w:pos="1440"/>
        </w:tabs>
        <w:spacing w:after="0" w:line="280" w:lineRule="atLeast"/>
        <w:ind w:left="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78720" behindDoc="0" locked="0" layoutInCell="1" allowOverlap="1" wp14:anchorId="30BC4ED3" wp14:editId="4328CE6B">
                <wp:simplePos x="0" y="0"/>
                <wp:positionH relativeFrom="column">
                  <wp:posOffset>0</wp:posOffset>
                </wp:positionH>
                <wp:positionV relativeFrom="paragraph">
                  <wp:posOffset>-635</wp:posOffset>
                </wp:positionV>
                <wp:extent cx="60198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E7FD725" id="Straight Connector 2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BluCKX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3263B45B" w14:textId="77777777"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22</w:t>
      </w:r>
      <w:r>
        <w:rPr>
          <w:rFonts w:eastAsia="Times New Roman" w:cs="Times New Roman"/>
          <w:b/>
        </w:rPr>
        <w:t xml:space="preserve"> </w:t>
      </w:r>
      <w:r w:rsidR="003359B5" w:rsidRPr="00BA6536">
        <w:rPr>
          <w:rFonts w:eastAsia="Times New Roman" w:cs="Times New Roman"/>
          <w:b/>
        </w:rPr>
        <w:tab/>
        <w:t xml:space="preserve">Examine the potential of allowing additional densities in existing specific plan areas within or adjacent to communities to better utilize available infrastructure and limited private land base. </w:t>
      </w:r>
    </w:p>
    <w:p w14:paraId="360AE5C5"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5B1D80D2"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2010.</w:t>
      </w:r>
    </w:p>
    <w:p w14:paraId="15E3D25B" w14:textId="77777777" w:rsidR="003359B5" w:rsidRPr="00BA6536" w:rsidRDefault="003359B5" w:rsidP="005F32BE">
      <w:pPr>
        <w:tabs>
          <w:tab w:val="left" w:pos="0"/>
          <w:tab w:val="left" w:pos="1260"/>
        </w:tabs>
        <w:spacing w:after="0" w:line="280" w:lineRule="atLeast"/>
        <w:rPr>
          <w:rFonts w:eastAsia="Times New Roman" w:cs="Times New Roman"/>
        </w:rPr>
      </w:pPr>
      <w:r w:rsidRPr="00BA6536">
        <w:rPr>
          <w:rFonts w:eastAsia="Times New Roman" w:cs="Times New Roman"/>
          <w:b/>
        </w:rPr>
        <w:t xml:space="preserve">Progress:  </w:t>
      </w:r>
      <w:r w:rsidR="00A44888" w:rsidRPr="00BA6536">
        <w:rPr>
          <w:rFonts w:eastAsia="Times New Roman" w:cs="Times New Roman"/>
        </w:rPr>
        <w:t xml:space="preserve">As part of the comprehensive </w:t>
      </w:r>
      <w:r w:rsidRPr="00BA6536">
        <w:rPr>
          <w:rFonts w:eastAsia="Times New Roman" w:cs="Times New Roman"/>
        </w:rPr>
        <w:t xml:space="preserve">general plan update, the capacities of local agencies and service providers are being examined through municipal service reviews and updates.  Initial reviews indicate limitations to much of the infrastructure to accommodate additional densities, particularly water resources.  </w:t>
      </w:r>
    </w:p>
    <w:p w14:paraId="6009AD45"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5F32BE" w:rsidRPr="00BA6536">
        <w:rPr>
          <w:rFonts w:eastAsia="Times New Roman" w:cs="Times New Roman"/>
        </w:rPr>
        <w:t>Successful.</w:t>
      </w:r>
    </w:p>
    <w:p w14:paraId="6E492374" w14:textId="77777777" w:rsidR="003359B5" w:rsidRPr="00BA6536" w:rsidRDefault="003359B5" w:rsidP="003359B5">
      <w:pPr>
        <w:spacing w:after="0" w:line="280" w:lineRule="atLeast"/>
        <w:jc w:val="both"/>
        <w:rPr>
          <w:rFonts w:eastAsia="Times New Roman" w:cs="Times New Roman"/>
        </w:rPr>
      </w:pPr>
      <w:r w:rsidRPr="00BA6536">
        <w:rPr>
          <w:rFonts w:eastAsia="Times New Roman" w:cs="Times New Roman"/>
          <w:b/>
        </w:rPr>
        <w:t>Adjustments to Program:</w:t>
      </w:r>
      <w:r w:rsidR="005F32BE" w:rsidRPr="00BA6536">
        <w:rPr>
          <w:rFonts w:eastAsia="Times New Roman" w:cs="Times New Roman"/>
          <w:b/>
        </w:rPr>
        <w:t xml:space="preserve"> </w:t>
      </w:r>
      <w:r w:rsidR="005F32BE" w:rsidRPr="00BA6536">
        <w:rPr>
          <w:rFonts w:eastAsia="Times New Roman" w:cs="Times New Roman"/>
        </w:rPr>
        <w:t xml:space="preserve">Program will be adjusted to utilize regional resources like IRWMP and focus on water limitations. </w:t>
      </w:r>
    </w:p>
    <w:p w14:paraId="06E20EDB" w14:textId="77777777" w:rsidR="003359B5" w:rsidRPr="00BA6536" w:rsidRDefault="003359B5" w:rsidP="003359B5">
      <w:pPr>
        <w:spacing w:after="0" w:line="280" w:lineRule="atLeast"/>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79744" behindDoc="0" locked="0" layoutInCell="1" allowOverlap="1" wp14:anchorId="0F83A994" wp14:editId="490D49EA">
                <wp:simplePos x="0" y="0"/>
                <wp:positionH relativeFrom="column">
                  <wp:posOffset>0</wp:posOffset>
                </wp:positionH>
                <wp:positionV relativeFrom="paragraph">
                  <wp:posOffset>-635</wp:posOffset>
                </wp:positionV>
                <wp:extent cx="60198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D0DA29F" id="Straight Connector 2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EwOdu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2960A8D3" w14:textId="77777777"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23</w:t>
      </w:r>
      <w:r>
        <w:rPr>
          <w:rFonts w:eastAsia="Times New Roman" w:cs="Times New Roman"/>
          <w:b/>
        </w:rPr>
        <w:t xml:space="preserve"> </w:t>
      </w:r>
      <w:r w:rsidR="003359B5" w:rsidRPr="00BA6536">
        <w:rPr>
          <w:rFonts w:eastAsia="Times New Roman" w:cs="Times New Roman"/>
          <w:b/>
        </w:rPr>
        <w:tab/>
        <w:t xml:space="preserve">Consider establishing minimum allowable densities (in addition to retaining maximum density restrictions) in appropriate community areas to encourage resident housing. </w:t>
      </w:r>
    </w:p>
    <w:p w14:paraId="7C396224"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407707D3"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14:paraId="3173F029"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rPr>
      </w:pPr>
      <w:r w:rsidRPr="00BA6536">
        <w:rPr>
          <w:rFonts w:eastAsia="Times New Roman" w:cs="Times New Roman"/>
          <w:b/>
        </w:rPr>
        <w:t xml:space="preserve">Progress: </w:t>
      </w:r>
      <w:r w:rsidRPr="00BA6536">
        <w:rPr>
          <w:rFonts w:eastAsia="Times New Roman" w:cs="Times New Roman"/>
        </w:rPr>
        <w:t>This is currently a consideration of the update of the June Lake Area Plan.</w:t>
      </w:r>
    </w:p>
    <w:p w14:paraId="47D12BD0" w14:textId="77777777" w:rsidR="003359B5" w:rsidRPr="00BA6536" w:rsidRDefault="003359B5" w:rsidP="005F32BE">
      <w:pPr>
        <w:tabs>
          <w:tab w:val="left" w:pos="0"/>
          <w:tab w:val="left" w:pos="1260"/>
        </w:tabs>
        <w:spacing w:after="0" w:line="280" w:lineRule="atLeast"/>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5F32BE" w:rsidRPr="00BA6536">
        <w:rPr>
          <w:rFonts w:eastAsia="Times New Roman" w:cs="Times New Roman"/>
        </w:rPr>
        <w:t>Concept was introduced during regular Area Plan revisions and Specific Plan discussions.</w:t>
      </w:r>
    </w:p>
    <w:p w14:paraId="3E8A9903" w14:textId="77777777" w:rsidR="003359B5" w:rsidRPr="00BA6536" w:rsidRDefault="003359B5" w:rsidP="003359B5">
      <w:pPr>
        <w:tabs>
          <w:tab w:val="left" w:pos="1440"/>
        </w:tabs>
        <w:spacing w:after="0" w:line="280" w:lineRule="atLeast"/>
        <w:ind w:left="1080" w:hanging="1080"/>
        <w:jc w:val="both"/>
        <w:rPr>
          <w:rFonts w:eastAsia="Times New Roman" w:cs="Times New Roman"/>
          <w:b/>
        </w:rPr>
      </w:pPr>
      <w:r w:rsidRPr="00BA6536">
        <w:rPr>
          <w:rFonts w:eastAsia="Times New Roman" w:cs="Times New Roman"/>
          <w:b/>
        </w:rPr>
        <w:t>Adjustments to Program:</w:t>
      </w:r>
      <w:r w:rsidR="005F32BE" w:rsidRPr="00BA6536">
        <w:rPr>
          <w:rFonts w:eastAsia="Times New Roman" w:cs="Times New Roman"/>
          <w:b/>
        </w:rPr>
        <w:t xml:space="preserve"> </w:t>
      </w:r>
      <w:r w:rsidR="005F32BE" w:rsidRPr="00BA6536">
        <w:rPr>
          <w:rFonts w:eastAsia="Times New Roman" w:cs="Times New Roman"/>
        </w:rPr>
        <w:t>Program will continue.</w:t>
      </w:r>
      <w:r w:rsidR="005F32BE" w:rsidRPr="00BA6536">
        <w:rPr>
          <w:rFonts w:eastAsia="Times New Roman" w:cs="Times New Roman"/>
          <w:b/>
        </w:rPr>
        <w:t xml:space="preserve"> </w:t>
      </w:r>
    </w:p>
    <w:p w14:paraId="661CE8BF" w14:textId="77777777" w:rsidR="003359B5" w:rsidRPr="00BA6536" w:rsidRDefault="003359B5" w:rsidP="003359B5">
      <w:pPr>
        <w:tabs>
          <w:tab w:val="left" w:pos="144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80768" behindDoc="0" locked="0" layoutInCell="1" allowOverlap="1" wp14:anchorId="1DD963DC" wp14:editId="37D8BE32">
                <wp:simplePos x="0" y="0"/>
                <wp:positionH relativeFrom="column">
                  <wp:posOffset>0</wp:posOffset>
                </wp:positionH>
                <wp:positionV relativeFrom="paragraph">
                  <wp:posOffset>-635</wp:posOffset>
                </wp:positionV>
                <wp:extent cx="60198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09FE935" id="Straight Connector 2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EkKMMH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7E19CD5C" w14:textId="77777777"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24</w:t>
      </w:r>
      <w:r>
        <w:rPr>
          <w:rFonts w:eastAsia="Times New Roman" w:cs="Times New Roman"/>
          <w:b/>
        </w:rPr>
        <w:t xml:space="preserve"> </w:t>
      </w:r>
      <w:r w:rsidR="003359B5" w:rsidRPr="00BA6536">
        <w:rPr>
          <w:rFonts w:eastAsia="Times New Roman" w:cs="Times New Roman"/>
          <w:b/>
        </w:rPr>
        <w:tab/>
        <w:t xml:space="preserve">Continue development credit programs in agricultural valleys such as Bridgeport and Hammil that promote the retention of large agricultural parcels for farming purposes by requiring clustered residential development on smaller parcels. </w:t>
      </w:r>
    </w:p>
    <w:p w14:paraId="3EE84ACB"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708A17B3"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14:paraId="7CBC1294"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development program was updated and reorganized with the intent making the program more clear by consolidating the regulations into one chapter, allowing provisions for the program to expand and adding the development credits to the General Plan maps.</w:t>
      </w:r>
    </w:p>
    <w:p w14:paraId="5621AEFA"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6542865C" w14:textId="77777777" w:rsidR="003359B5" w:rsidRPr="00BA6536" w:rsidRDefault="003359B5" w:rsidP="003359B5">
      <w:pPr>
        <w:spacing w:after="0" w:line="280" w:lineRule="atLeast"/>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 xml:space="preserve">Program will continue as adjusted. </w:t>
      </w:r>
    </w:p>
    <w:p w14:paraId="44295395" w14:textId="77777777" w:rsidR="003359B5" w:rsidRPr="00BA6536" w:rsidRDefault="003359B5" w:rsidP="003359B5">
      <w:pPr>
        <w:spacing w:after="0" w:line="280" w:lineRule="atLeast"/>
        <w:jc w:val="both"/>
        <w:rPr>
          <w:rFonts w:eastAsia="Times New Roman" w:cs="Times New Roman"/>
          <w:b/>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81792" behindDoc="0" locked="0" layoutInCell="1" allowOverlap="1" wp14:anchorId="110564C0" wp14:editId="16F6D266">
                <wp:simplePos x="0" y="0"/>
                <wp:positionH relativeFrom="column">
                  <wp:posOffset>0</wp:posOffset>
                </wp:positionH>
                <wp:positionV relativeFrom="paragraph">
                  <wp:posOffset>-635</wp:posOffset>
                </wp:positionV>
                <wp:extent cx="60198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DCD858" id="Straight Connector 2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BfUznq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00786502" w14:textId="77777777" w:rsidR="003359B5" w:rsidRPr="00BA6536" w:rsidRDefault="00D72B24" w:rsidP="003359B5">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25</w:t>
      </w:r>
      <w:r>
        <w:rPr>
          <w:rFonts w:eastAsia="Times New Roman" w:cs="Times New Roman"/>
          <w:b/>
        </w:rPr>
        <w:t xml:space="preserve"> </w:t>
      </w:r>
      <w:r w:rsidR="003359B5" w:rsidRPr="00BA6536">
        <w:rPr>
          <w:rFonts w:eastAsia="Times New Roman" w:cs="Times New Roman"/>
          <w:b/>
        </w:rPr>
        <w:tab/>
        <w:t xml:space="preserve">Develop and implement a program to connect second-home owners with those needing seasonal housing and consider methods of encouraging second-home owners to make vacation units available for resident use or seasonal employee housing. </w:t>
      </w:r>
    </w:p>
    <w:p w14:paraId="25C7A417"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Mono County Housing Authority.</w:t>
      </w:r>
    </w:p>
    <w:p w14:paraId="76EEE031"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2012.</w:t>
      </w:r>
    </w:p>
    <w:p w14:paraId="451BBB56"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Initial research has been discouraging in that no examples are available from peer re</w:t>
      </w:r>
      <w:r w:rsidR="00FE6673" w:rsidRPr="00BA6536">
        <w:rPr>
          <w:rFonts w:eastAsia="Times New Roman" w:cs="Times New Roman"/>
        </w:rPr>
        <w:t>s</w:t>
      </w:r>
      <w:r w:rsidRPr="00BA6536">
        <w:rPr>
          <w:rFonts w:eastAsia="Times New Roman" w:cs="Times New Roman"/>
        </w:rPr>
        <w:t xml:space="preserve">ort community areas.  </w:t>
      </w:r>
    </w:p>
    <w:p w14:paraId="53EEBA51"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Ongoing.</w:t>
      </w:r>
    </w:p>
    <w:p w14:paraId="086E9ABC"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Adjustments to Program:</w:t>
      </w:r>
      <w:r w:rsidRPr="00BA6536">
        <w:rPr>
          <w:rFonts w:eastAsia="Times New Roman" w:cs="Times New Roman"/>
        </w:rPr>
        <w:t xml:space="preserve"> Further work will be conducted investigating the feasibility of a web-based utility connecting vacant seasonal units with seasonal employees.</w:t>
      </w:r>
      <w:r w:rsidRPr="00BA6536">
        <w:rPr>
          <w:rFonts w:eastAsia="Times New Roman" w:cs="Times New Roman"/>
          <w:b/>
        </w:rPr>
        <w:t xml:space="preserve">  </w:t>
      </w:r>
    </w:p>
    <w:p w14:paraId="1632C197" w14:textId="77777777" w:rsidR="003359B5" w:rsidRPr="00BA6536" w:rsidRDefault="003359B5" w:rsidP="003359B5">
      <w:pPr>
        <w:tabs>
          <w:tab w:val="left" w:pos="1440"/>
        </w:tabs>
        <w:spacing w:after="0" w:line="280" w:lineRule="atLeast"/>
        <w:ind w:left="1080" w:hanging="1080"/>
        <w:jc w:val="both"/>
        <w:rPr>
          <w:rFonts w:ascii="Times New Roman" w:eastAsia="Times New Roman" w:hAnsi="Times New Roman" w:cs="Times New Roman"/>
          <w:b/>
          <w:sz w:val="24"/>
          <w:szCs w:val="20"/>
        </w:rPr>
      </w:pPr>
    </w:p>
    <w:p w14:paraId="34398689" w14:textId="77777777" w:rsidR="003359B5" w:rsidRPr="00BA6536" w:rsidRDefault="003359B5" w:rsidP="003359B5">
      <w:pPr>
        <w:tabs>
          <w:tab w:val="left" w:pos="144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82816" behindDoc="0" locked="0" layoutInCell="1" allowOverlap="1" wp14:anchorId="15F252D2" wp14:editId="0C600BDF">
                <wp:simplePos x="0" y="0"/>
                <wp:positionH relativeFrom="column">
                  <wp:posOffset>0</wp:posOffset>
                </wp:positionH>
                <wp:positionV relativeFrom="paragraph">
                  <wp:posOffset>-635</wp:posOffset>
                </wp:positionV>
                <wp:extent cx="60198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03F90E3"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Sme5F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1DEB16F4" w14:textId="77777777" w:rsidR="003359B5" w:rsidRPr="00BA6536" w:rsidRDefault="00D72B2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26</w:t>
      </w:r>
      <w:r w:rsidR="003359B5" w:rsidRPr="00BA6536">
        <w:rPr>
          <w:rFonts w:eastAsia="Times New Roman" w:cs="Times New Roman"/>
          <w:b/>
        </w:rPr>
        <w:tab/>
      </w:r>
      <w:r>
        <w:rPr>
          <w:rFonts w:eastAsia="Times New Roman" w:cs="Times New Roman"/>
          <w:b/>
        </w:rPr>
        <w:t xml:space="preserve"> </w:t>
      </w:r>
      <w:r w:rsidR="003359B5" w:rsidRPr="00BA6536">
        <w:rPr>
          <w:rFonts w:eastAsia="Times New Roman" w:cs="Times New Roman"/>
          <w:b/>
        </w:rPr>
        <w:t>Continue to utilize the Director Review permit process (ministerial permit process) to allow multifamily in multifamily designations and designations such as MFR-M and MFR-H.</w:t>
      </w:r>
    </w:p>
    <w:p w14:paraId="5EDC58AB"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  Community Development Department.</w:t>
      </w:r>
    </w:p>
    <w:p w14:paraId="464283A5" w14:textId="77777777" w:rsidR="003359B5" w:rsidRPr="00BA6536" w:rsidRDefault="003359B5" w:rsidP="003359B5">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14:paraId="00C11D86"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No multifamily projects were permitted or constructed during the planning period.</w:t>
      </w:r>
    </w:p>
    <w:p w14:paraId="0B964339"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1E9D9543" w14:textId="77777777" w:rsidR="003359B5" w:rsidRPr="00BA6536" w:rsidRDefault="003359B5" w:rsidP="003359B5">
      <w:pPr>
        <w:spacing w:after="0" w:line="280" w:lineRule="atLeast"/>
        <w:ind w:left="360" w:hanging="36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14:paraId="1E73E91F" w14:textId="77777777" w:rsidR="003359B5" w:rsidRPr="00BA6536" w:rsidRDefault="003359B5" w:rsidP="003359B5">
      <w:pPr>
        <w:spacing w:after="0" w:line="280" w:lineRule="atLeast"/>
        <w:ind w:left="360" w:hanging="360"/>
        <w:jc w:val="both"/>
        <w:rPr>
          <w:rFonts w:ascii="Times New Roman" w:eastAsia="Times New Roman" w:hAnsi="Times New Roman" w:cs="Times New Roman"/>
          <w:b/>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83840" behindDoc="0" locked="0" layoutInCell="1" allowOverlap="1" wp14:anchorId="5BB42BB9" wp14:editId="29FE3D83">
                <wp:simplePos x="0" y="0"/>
                <wp:positionH relativeFrom="column">
                  <wp:posOffset>0</wp:posOffset>
                </wp:positionH>
                <wp:positionV relativeFrom="paragraph">
                  <wp:posOffset>-635</wp:posOffset>
                </wp:positionV>
                <wp:extent cx="60198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9E02739" id="Straight Connector 2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LCyA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7VyxZPy4HhGLwnB&#10;DGMSu+A9KxhQcJCVmiI1XLDzB5w9igfMtM89uvzPhMS5qHu5qavPSSi+vKuXD/c1D0G9xqpfhREp&#10;fdLBiWy00hqfiUMDp8+UuBmnvqbkax+ejbVleNaLicE/rjMy8Ar1FhKbLjIp8oMUYAfeTZWwIFKw&#10;psvVGYdwOO4sihPwfqyfHp7260yUu/2WllvvgcZrXgldN8eZxOtrjWslU+PfXG19RtdlAWcCWbyr&#10;XNk6hu5SVKyyx8MtTedFzNvz1mf77eey/Qk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NykwsL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5FC307D0" w14:textId="77777777" w:rsidR="003359B5" w:rsidRPr="00BA6536" w:rsidRDefault="00D72B2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27</w:t>
      </w:r>
      <w:r>
        <w:rPr>
          <w:rFonts w:eastAsia="Times New Roman" w:cs="Times New Roman"/>
          <w:b/>
        </w:rPr>
        <w:t xml:space="preserve"> </w:t>
      </w:r>
      <w:r w:rsidR="003359B5" w:rsidRPr="00BA6536">
        <w:rPr>
          <w:rFonts w:eastAsia="Times New Roman" w:cs="Times New Roman"/>
          <w:b/>
        </w:rPr>
        <w:tab/>
        <w:t>In compliance with Government Code Section 65583(a)(4), allow emergency shelters in at least one land use designation without a use permit or other discretionary permit. Amend the General Plan Land Use Element to a) include a definition of Emergency Shelter; b) allow emergency shelters outright in the Public Facility (PF) land use designation</w:t>
      </w:r>
      <w:r w:rsidR="003359B5" w:rsidRPr="00BA6536">
        <w:rPr>
          <w:rFonts w:eastAsia="Times New Roman" w:cs="Times New Roman"/>
          <w:b/>
          <w:strike/>
        </w:rPr>
        <w:t xml:space="preserve"> </w:t>
      </w:r>
      <w:r w:rsidR="003359B5" w:rsidRPr="00BA6536">
        <w:rPr>
          <w:rFonts w:eastAsia="Times New Roman" w:cs="Times New Roman"/>
          <w:b/>
        </w:rPr>
        <w:t>and in multi-family land designations (such as MFR); and c) stipulate that emergency shelters will only be subject to the same development and management standards that apply to other allowed uses with these designations.</w:t>
      </w:r>
    </w:p>
    <w:p w14:paraId="580FABF0" w14:textId="77777777" w:rsidR="003359B5" w:rsidRPr="00BA6536" w:rsidRDefault="003359B5" w:rsidP="003359B5">
      <w:pPr>
        <w:spacing w:after="0" w:line="280" w:lineRule="atLeast"/>
        <w:jc w:val="both"/>
        <w:rPr>
          <w:rFonts w:eastAsia="Times New Roman" w:cs="Times New Roman"/>
        </w:rPr>
      </w:pPr>
      <w:r w:rsidRPr="00BA6536">
        <w:rPr>
          <w:rFonts w:eastAsia="Times New Roman" w:cs="Times New Roman"/>
        </w:rPr>
        <w:t>Responsible Agencies:  Community Development Department.</w:t>
      </w:r>
    </w:p>
    <w:p w14:paraId="6C43F199" w14:textId="77777777" w:rsidR="003359B5" w:rsidRPr="00BA6536" w:rsidRDefault="003359B5" w:rsidP="003359B5">
      <w:pPr>
        <w:spacing w:after="0" w:line="280" w:lineRule="atLeast"/>
        <w:jc w:val="both"/>
        <w:rPr>
          <w:rFonts w:eastAsia="Times New Roman" w:cs="Times New Roman"/>
        </w:rPr>
      </w:pPr>
      <w:r w:rsidRPr="00BA6536">
        <w:rPr>
          <w:rFonts w:eastAsia="Times New Roman" w:cs="Times New Roman"/>
        </w:rPr>
        <w:t>Timeframe:  2010.</w:t>
      </w:r>
    </w:p>
    <w:p w14:paraId="05986B81"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005F32BE" w:rsidRPr="00BA6536">
        <w:rPr>
          <w:rFonts w:eastAsia="Times New Roman" w:cs="Times New Roman"/>
        </w:rPr>
        <w:t xml:space="preserve">Emergency shelters are allowed without a use permit in the PF land use designation.  </w:t>
      </w:r>
    </w:p>
    <w:p w14:paraId="4360DD26"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5F32BE" w:rsidRPr="00BA6536">
        <w:rPr>
          <w:rFonts w:eastAsia="Times New Roman" w:cs="Times New Roman"/>
        </w:rPr>
        <w:t>Successful.</w:t>
      </w:r>
    </w:p>
    <w:p w14:paraId="7610D7DD" w14:textId="77777777" w:rsidR="003359B5" w:rsidRPr="00BA6536" w:rsidRDefault="003359B5" w:rsidP="003359B5">
      <w:pPr>
        <w:spacing w:after="0" w:line="280" w:lineRule="atLeast"/>
        <w:jc w:val="both"/>
        <w:rPr>
          <w:rFonts w:eastAsia="Times New Roman" w:cs="Times New Roman"/>
        </w:rPr>
      </w:pPr>
      <w:r w:rsidRPr="00BA6536">
        <w:rPr>
          <w:rFonts w:eastAsia="Times New Roman" w:cs="Times New Roman"/>
          <w:b/>
        </w:rPr>
        <w:t>Adjustments to Program:</w:t>
      </w:r>
      <w:r w:rsidR="005F32BE" w:rsidRPr="00BA6536">
        <w:rPr>
          <w:rFonts w:eastAsia="Times New Roman" w:cs="Times New Roman"/>
          <w:b/>
        </w:rPr>
        <w:t xml:space="preserve"> </w:t>
      </w:r>
      <w:r w:rsidR="005F32BE" w:rsidRPr="00BA6536">
        <w:rPr>
          <w:rFonts w:eastAsia="Times New Roman" w:cs="Times New Roman"/>
        </w:rPr>
        <w:t xml:space="preserve">Program will be changed to amend only the multi-family designations. </w:t>
      </w:r>
    </w:p>
    <w:p w14:paraId="7F362A0C" w14:textId="77777777" w:rsidR="003359B5" w:rsidRPr="00BA6536" w:rsidRDefault="003359B5" w:rsidP="003359B5">
      <w:pPr>
        <w:spacing w:after="0" w:line="280" w:lineRule="atLeast"/>
        <w:jc w:val="both"/>
        <w:rPr>
          <w:rFonts w:eastAsia="Times New Roman" w:cs="Times New Roman"/>
        </w:rPr>
      </w:pPr>
      <w:r w:rsidRPr="00BA6536">
        <w:rPr>
          <w:rFonts w:eastAsia="Times New Roman" w:cs="Times New Roman"/>
          <w:noProof/>
          <w:highlight w:val="yellow"/>
        </w:rPr>
        <mc:AlternateContent>
          <mc:Choice Requires="wps">
            <w:drawing>
              <wp:anchor distT="0" distB="0" distL="114300" distR="114300" simplePos="0" relativeHeight="251684864" behindDoc="0" locked="0" layoutInCell="1" allowOverlap="1" wp14:anchorId="198A943F" wp14:editId="7465FD90">
                <wp:simplePos x="0" y="0"/>
                <wp:positionH relativeFrom="column">
                  <wp:posOffset>0</wp:posOffset>
                </wp:positionH>
                <wp:positionV relativeFrom="paragraph">
                  <wp:posOffset>0</wp:posOffset>
                </wp:positionV>
                <wp:extent cx="60198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94418B6" id="Straight Connector 2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EW4Vbc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14:paraId="5BF81CCC" w14:textId="77777777" w:rsidR="003359B5" w:rsidRPr="00BA6536" w:rsidRDefault="00D72B24" w:rsidP="003359B5">
      <w:pPr>
        <w:spacing w:after="0" w:line="280" w:lineRule="atLeast"/>
        <w:ind w:left="1260" w:hanging="1260"/>
        <w:jc w:val="both"/>
        <w:rPr>
          <w:rFonts w:eastAsia="Times New Roman" w:cs="Times New Roman"/>
          <w:b/>
        </w:rPr>
      </w:pPr>
      <w:r>
        <w:rPr>
          <w:rFonts w:eastAsia="Times New Roman" w:cs="Times New Roman"/>
          <w:b/>
        </w:rPr>
        <w:t>Program 1:</w:t>
      </w:r>
      <w:r w:rsidR="008024AB" w:rsidRPr="00BA6536">
        <w:rPr>
          <w:rFonts w:eastAsia="Times New Roman" w:cs="Times New Roman"/>
          <w:b/>
        </w:rPr>
        <w:t>28</w:t>
      </w:r>
      <w:r>
        <w:rPr>
          <w:rFonts w:eastAsia="Times New Roman" w:cs="Times New Roman"/>
          <w:b/>
        </w:rPr>
        <w:t xml:space="preserve"> </w:t>
      </w:r>
      <w:r w:rsidR="003359B5" w:rsidRPr="00BA6536">
        <w:rPr>
          <w:rFonts w:eastAsia="Times New Roman" w:cs="Times New Roman"/>
          <w:b/>
        </w:rPr>
        <w:tab/>
        <w:t>In compliance with Government Code Section 65583(a)(4), allow transitional and supportive housing as a residential use in all land use designations where similar housing types are allowed.  Amend the General Plan Land Use Element to a) include definitions of transitional and supportive housing; b) allow transitional and supportive housing as a residential use in all land use designations where similar housing types are allowed; and c) stipulate that transitional and supportive housing must be subject only to the restrictions that apply to other residential uses of the same type in the same designation.</w:t>
      </w:r>
    </w:p>
    <w:p w14:paraId="5875A37C" w14:textId="77777777" w:rsidR="003359B5" w:rsidRPr="00BA6536" w:rsidRDefault="003359B5" w:rsidP="003359B5">
      <w:pPr>
        <w:spacing w:after="0" w:line="280" w:lineRule="atLeast"/>
        <w:jc w:val="both"/>
        <w:rPr>
          <w:rFonts w:eastAsia="Times New Roman" w:cs="Times New Roman"/>
        </w:rPr>
      </w:pPr>
      <w:r w:rsidRPr="00BA6536">
        <w:rPr>
          <w:rFonts w:eastAsia="Times New Roman" w:cs="Times New Roman"/>
        </w:rPr>
        <w:t>Responsible Agencies:  Community Development Department.</w:t>
      </w:r>
    </w:p>
    <w:p w14:paraId="340DC309" w14:textId="77777777" w:rsidR="003359B5" w:rsidRPr="00BA6536" w:rsidRDefault="003359B5" w:rsidP="003359B5">
      <w:pPr>
        <w:spacing w:after="0" w:line="280" w:lineRule="atLeast"/>
        <w:jc w:val="both"/>
        <w:rPr>
          <w:rFonts w:eastAsia="Times New Roman" w:cs="Times New Roman"/>
        </w:rPr>
      </w:pPr>
      <w:r w:rsidRPr="00BA6536">
        <w:rPr>
          <w:rFonts w:eastAsia="Times New Roman" w:cs="Times New Roman"/>
        </w:rPr>
        <w:t>Timeframe:  2012.</w:t>
      </w:r>
    </w:p>
    <w:p w14:paraId="0EFFF4D5" w14:textId="77777777" w:rsidR="003359B5" w:rsidRPr="00BA6536" w:rsidRDefault="003359B5" w:rsidP="003359B5">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The general plan was amended in accordance with program 28.</w:t>
      </w:r>
    </w:p>
    <w:p w14:paraId="0C604A93" w14:textId="77777777" w:rsidR="003359B5" w:rsidRPr="00BA6536" w:rsidRDefault="003359B5" w:rsidP="003359B5">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Completed. </w:t>
      </w:r>
    </w:p>
    <w:p w14:paraId="6519AFE8" w14:textId="77777777" w:rsidR="003359B5" w:rsidRPr="00BA6536" w:rsidRDefault="003359B5" w:rsidP="003359B5">
      <w:pPr>
        <w:spacing w:after="0" w:line="280" w:lineRule="atLeast"/>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Program will be deleted.</w:t>
      </w:r>
    </w:p>
    <w:p w14:paraId="257E5490" w14:textId="77777777" w:rsidR="003359B5" w:rsidRPr="00BA6536" w:rsidRDefault="003359B5" w:rsidP="00B80A5B">
      <w:pPr>
        <w:spacing w:after="0" w:line="280" w:lineRule="atLeast"/>
        <w:jc w:val="both"/>
        <w:rPr>
          <w:rFonts w:eastAsia="Times New Roman" w:cs="ArialMT"/>
          <w:lang w:bidi="en-US"/>
        </w:rPr>
      </w:pPr>
    </w:p>
    <w:p w14:paraId="7A7EE6C2" w14:textId="77777777" w:rsidR="00FE6673" w:rsidRPr="00BA6536" w:rsidRDefault="002E1FEA" w:rsidP="003D5E81">
      <w:pPr>
        <w:pStyle w:val="Heading2"/>
        <w:rPr>
          <w:rFonts w:eastAsia="Times New Roman" w:cs="ArialMT"/>
          <w:color w:val="auto"/>
          <w:lang w:bidi="en-US"/>
        </w:rPr>
      </w:pPr>
      <w:bookmarkStart w:id="359" w:name="_Toc383700158"/>
      <w:r>
        <w:rPr>
          <w:rFonts w:eastAsia="Times New Roman" w:cs="ArialMT"/>
          <w:color w:val="auto"/>
          <w:lang w:bidi="en-US"/>
        </w:rPr>
        <w:t xml:space="preserve">B. </w:t>
      </w:r>
      <w:r w:rsidR="00FE6673" w:rsidRPr="00BA6536">
        <w:rPr>
          <w:rFonts w:eastAsia="Times New Roman" w:cs="ArialMT"/>
          <w:color w:val="auto"/>
          <w:lang w:bidi="en-US"/>
        </w:rPr>
        <w:t>HOUSING FOR LOW AND MODERATE INCOMES</w:t>
      </w:r>
      <w:bookmarkEnd w:id="359"/>
    </w:p>
    <w:p w14:paraId="7167A77F" w14:textId="77777777" w:rsidR="00DA0C24" w:rsidRPr="00BA6536" w:rsidRDefault="00DA0C24" w:rsidP="00B80A5B">
      <w:pPr>
        <w:spacing w:after="0" w:line="280" w:lineRule="atLeast"/>
        <w:jc w:val="both"/>
        <w:rPr>
          <w:rFonts w:eastAsia="Times New Roman" w:cs="ArialMT"/>
          <w:lang w:bidi="en-US"/>
        </w:rPr>
      </w:pPr>
    </w:p>
    <w:p w14:paraId="30919944" w14:textId="77777777" w:rsidR="00FE6673" w:rsidRPr="00BA6536" w:rsidRDefault="00D72B24" w:rsidP="00FE6673">
      <w:pPr>
        <w:spacing w:after="0" w:line="280" w:lineRule="atLeast"/>
        <w:ind w:left="1267" w:hanging="1267"/>
        <w:jc w:val="both"/>
        <w:rPr>
          <w:rFonts w:eastAsia="Times New Roman" w:cs="Times New Roman"/>
          <w:b/>
          <w:strike/>
        </w:rPr>
      </w:pPr>
      <w:r>
        <w:rPr>
          <w:rFonts w:eastAsia="Times New Roman" w:cs="Times New Roman"/>
          <w:b/>
        </w:rPr>
        <w:t>Program 2:1</w:t>
      </w:r>
      <w:r w:rsidR="00FE6673" w:rsidRPr="00BA6536">
        <w:rPr>
          <w:rFonts w:eastAsia="Times New Roman" w:cs="Times New Roman"/>
          <w:b/>
        </w:rPr>
        <w:tab/>
        <w:t xml:space="preserve">The Board of Supervisors shall award density bonuses for projects incorporating affordable housing consistent with the Mono County Housing Mitigation Requirements (Chapter 15.40, Mono County Code).  </w:t>
      </w:r>
    </w:p>
    <w:p w14:paraId="5CB18F5B" w14:textId="77777777" w:rsidR="00FE6673" w:rsidRPr="00BA6536" w:rsidRDefault="00FE6673" w:rsidP="00FE6673">
      <w:pPr>
        <w:spacing w:after="0" w:line="280" w:lineRule="atLeast"/>
        <w:ind w:left="2340" w:hanging="2340"/>
        <w:jc w:val="both"/>
        <w:rPr>
          <w:rFonts w:eastAsia="Times New Roman" w:cs="Times New Roman"/>
        </w:rPr>
      </w:pPr>
      <w:r w:rsidRPr="00BA6536">
        <w:rPr>
          <w:rFonts w:eastAsia="Times New Roman" w:cs="Times New Roman"/>
        </w:rPr>
        <w:t>Responsible Agencies: Community Development Department, Board of Supervisors.</w:t>
      </w:r>
    </w:p>
    <w:p w14:paraId="22D5851B" w14:textId="77777777" w:rsidR="00FE6673" w:rsidRPr="00BA6536" w:rsidRDefault="00FE6673" w:rsidP="00FE6673">
      <w:pPr>
        <w:tabs>
          <w:tab w:val="left" w:pos="1620"/>
        </w:tabs>
        <w:spacing w:after="0" w:line="280" w:lineRule="atLeast"/>
        <w:ind w:left="2340" w:hanging="2340"/>
        <w:rPr>
          <w:rFonts w:eastAsia="Times New Roman" w:cs="Times New Roman"/>
        </w:rPr>
      </w:pPr>
      <w:r w:rsidRPr="00BA6536">
        <w:rPr>
          <w:rFonts w:eastAsia="Times New Roman" w:cs="Times New Roman"/>
        </w:rPr>
        <w:t>Timeframe: Ongoing, 2007-2014.</w:t>
      </w:r>
    </w:p>
    <w:p w14:paraId="746017A0"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In 2011, the Board of Supervisors suspended the Housing Mitigation Ordinance, the ordinance is scheduled to be reviewed by the Housing Authority before being re-implemented, currently the re-implementation date is January 2015. </w:t>
      </w:r>
    </w:p>
    <w:p w14:paraId="25774585"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Ordinance Suspended, Ongoing.</w:t>
      </w:r>
    </w:p>
    <w:p w14:paraId="6BB2C479" w14:textId="77777777" w:rsidR="00FE6673" w:rsidRPr="00BA6536" w:rsidRDefault="00FE6673" w:rsidP="00FE6673">
      <w:pPr>
        <w:tabs>
          <w:tab w:val="left" w:pos="1080"/>
          <w:tab w:val="left" w:pos="1260"/>
        </w:tabs>
        <w:spacing w:after="0" w:line="280" w:lineRule="atLeast"/>
        <w:ind w:left="2340" w:hanging="2340"/>
        <w:rPr>
          <w:rFonts w:eastAsia="Times New Roman" w:cs="Times New Roman"/>
          <w:b/>
          <w:highlight w:val="yellow"/>
        </w:rPr>
      </w:pPr>
      <w:r w:rsidRPr="00BA6536">
        <w:rPr>
          <w:rFonts w:eastAsia="Times New Roman" w:cs="Times New Roman"/>
          <w:b/>
        </w:rPr>
        <w:t xml:space="preserve">Adjustments to Program: </w:t>
      </w:r>
      <w:r w:rsidRPr="00BA6536">
        <w:rPr>
          <w:rFonts w:eastAsia="Times New Roman" w:cs="Times New Roman"/>
        </w:rPr>
        <w:t>Program will continue with adjustments to the ordinance likely.</w:t>
      </w:r>
      <w:r w:rsidRPr="00BA6536">
        <w:rPr>
          <w:rFonts w:eastAsia="Times New Roman" w:cs="Times New Roman"/>
          <w:b/>
          <w:highlight w:val="yellow"/>
        </w:rPr>
        <w:t xml:space="preserve"> </w:t>
      </w:r>
    </w:p>
    <w:p w14:paraId="442848E6" w14:textId="77777777" w:rsidR="00FE6673" w:rsidRPr="00BA6536" w:rsidRDefault="00FE6673" w:rsidP="00FE6673">
      <w:pPr>
        <w:tabs>
          <w:tab w:val="left" w:pos="108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87936" behindDoc="0" locked="0" layoutInCell="1" allowOverlap="1" wp14:anchorId="07BD84DD" wp14:editId="0C9EB608">
                <wp:simplePos x="0" y="0"/>
                <wp:positionH relativeFrom="column">
                  <wp:posOffset>0</wp:posOffset>
                </wp:positionH>
                <wp:positionV relativeFrom="paragraph">
                  <wp:posOffset>0</wp:posOffset>
                </wp:positionV>
                <wp:extent cx="60198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1EA03C8" id="Straight Connector 3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eUKG9s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14:paraId="58816B9B" w14:textId="77777777" w:rsidR="00FE6673" w:rsidRPr="00BA6536" w:rsidRDefault="00FE6673" w:rsidP="00FE6673">
      <w:pPr>
        <w:spacing w:after="0" w:line="280" w:lineRule="atLeast"/>
        <w:ind w:left="1260" w:hanging="1260"/>
        <w:jc w:val="both"/>
        <w:rPr>
          <w:rFonts w:eastAsia="Times New Roman" w:cs="Times New Roman"/>
          <w:b/>
          <w:i/>
        </w:rPr>
      </w:pPr>
      <w:r w:rsidRPr="00BA6536">
        <w:rPr>
          <w:rFonts w:eastAsia="Times New Roman" w:cs="Times New Roman"/>
          <w:b/>
        </w:rPr>
        <w:t>Program 2</w:t>
      </w:r>
      <w:r w:rsidR="00D72B24">
        <w:rPr>
          <w:rFonts w:eastAsia="Times New Roman" w:cs="Times New Roman"/>
          <w:b/>
        </w:rPr>
        <w:t xml:space="preserve">:2 </w:t>
      </w:r>
      <w:r w:rsidR="008024AB" w:rsidRPr="00BA6536">
        <w:rPr>
          <w:rFonts w:eastAsia="Times New Roman" w:cs="Times New Roman"/>
          <w:b/>
        </w:rPr>
        <w:t xml:space="preserve"> </w:t>
      </w:r>
      <w:r w:rsidRPr="00BA6536">
        <w:rPr>
          <w:rFonts w:eastAsia="Times New Roman" w:cs="Times New Roman"/>
          <w:b/>
        </w:rPr>
        <w:t>The Board of Supervisors may reduce or waive development processing fees for qualifying affordable housing projects in order to facilitate processing. County staff will identify other agencies/districts with fees related to residential construction and will determine if those agencies waive or reduce fees for affordable housing units.  Staff will then work with applicable agencies to promote a reduction or waiving of fees for affordable housing projects.</w:t>
      </w:r>
    </w:p>
    <w:p w14:paraId="780A0128" w14:textId="77777777" w:rsidR="00FE6673" w:rsidRPr="00BA6536" w:rsidRDefault="00FE6673" w:rsidP="00FE6673">
      <w:pPr>
        <w:spacing w:after="0" w:line="280" w:lineRule="atLeast"/>
        <w:ind w:left="2340" w:hanging="2340"/>
        <w:jc w:val="both"/>
        <w:rPr>
          <w:rFonts w:eastAsia="Times New Roman" w:cs="Times New Roman"/>
        </w:rPr>
      </w:pPr>
      <w:r w:rsidRPr="00BA6536">
        <w:rPr>
          <w:rFonts w:eastAsia="Times New Roman" w:cs="Times New Roman"/>
        </w:rPr>
        <w:t>Responsible Agencies:  Community Development Department, Board of Supervisors.</w:t>
      </w:r>
    </w:p>
    <w:p w14:paraId="32DB524B" w14:textId="77777777" w:rsidR="00FE6673" w:rsidRPr="00BA6536" w:rsidRDefault="00FE6673" w:rsidP="00FE6673">
      <w:pPr>
        <w:tabs>
          <w:tab w:val="left" w:pos="1620"/>
        </w:tabs>
        <w:spacing w:after="0" w:line="280" w:lineRule="atLeast"/>
        <w:ind w:left="2340" w:hanging="2340"/>
        <w:rPr>
          <w:rFonts w:eastAsia="Times New Roman" w:cs="Times New Roman"/>
        </w:rPr>
      </w:pPr>
      <w:r w:rsidRPr="00BA6536">
        <w:rPr>
          <w:rFonts w:eastAsia="Times New Roman" w:cs="Times New Roman"/>
        </w:rPr>
        <w:t xml:space="preserve">Timeframe: Work with applicable agencies to promote a reduction or waiving of fees by 2012. </w:t>
      </w:r>
    </w:p>
    <w:p w14:paraId="22F0DD57" w14:textId="77777777" w:rsidR="00FE6673" w:rsidRPr="00BA6536" w:rsidRDefault="00FE6673" w:rsidP="00FE6673">
      <w:pPr>
        <w:tabs>
          <w:tab w:val="left" w:pos="1080"/>
          <w:tab w:val="left" w:pos="1260"/>
          <w:tab w:val="left" w:pos="144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Board of Supervisors authorized a limited fee reduction program for all building permits, several residential projects were permitted with reduced fees including the Camp Antelope rehabilitation project.</w:t>
      </w:r>
      <w:r w:rsidRPr="00BA6536">
        <w:rPr>
          <w:rFonts w:eastAsia="Times New Roman" w:cs="Times New Roman"/>
          <w:b/>
        </w:rPr>
        <w:t xml:space="preserve">  </w:t>
      </w:r>
    </w:p>
    <w:p w14:paraId="0D682122"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6ECBD69D" w14:textId="77777777" w:rsidR="00FE6673" w:rsidRPr="00BA6536" w:rsidRDefault="00FE6673" w:rsidP="00FE6673">
      <w:pPr>
        <w:tabs>
          <w:tab w:val="left" w:pos="1080"/>
        </w:tabs>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1CF526E5" w14:textId="77777777" w:rsidR="00FE6673" w:rsidRPr="00BA6536" w:rsidRDefault="00FE6673" w:rsidP="00FE6673">
      <w:pPr>
        <w:tabs>
          <w:tab w:val="left" w:pos="108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88960" behindDoc="0" locked="0" layoutInCell="1" allowOverlap="1" wp14:anchorId="3FB9F6AC" wp14:editId="5C38ECF0">
                <wp:simplePos x="0" y="0"/>
                <wp:positionH relativeFrom="column">
                  <wp:posOffset>0</wp:posOffset>
                </wp:positionH>
                <wp:positionV relativeFrom="paragraph">
                  <wp:posOffset>0</wp:posOffset>
                </wp:positionV>
                <wp:extent cx="60198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E59146C" id="Straight Connector 3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bxuP3c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14:paraId="03E1DB5D"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2:3</w:t>
      </w:r>
      <w:r w:rsidR="00FE6673" w:rsidRPr="00BA6536">
        <w:rPr>
          <w:rFonts w:eastAsia="Times New Roman" w:cs="Times New Roman"/>
          <w:b/>
        </w:rPr>
        <w:tab/>
        <w:t>Continue to allow secondary housing units in single-family residential areas as provided by state law and Chapter 16 of the Mono County Land Development Regulations.</w:t>
      </w:r>
    </w:p>
    <w:p w14:paraId="0AA92CCB" w14:textId="77777777" w:rsidR="00FE6673" w:rsidRPr="00BA6536" w:rsidRDefault="00FE6673" w:rsidP="00FE6673">
      <w:pPr>
        <w:spacing w:after="0" w:line="280" w:lineRule="atLeast"/>
        <w:ind w:left="2520" w:hanging="2520"/>
        <w:jc w:val="both"/>
        <w:rPr>
          <w:rFonts w:eastAsia="Times New Roman" w:cs="Times New Roman"/>
        </w:rPr>
      </w:pPr>
      <w:r w:rsidRPr="00BA6536">
        <w:rPr>
          <w:rFonts w:eastAsia="Times New Roman" w:cs="Times New Roman"/>
        </w:rPr>
        <w:t>Responsible Agencies:</w:t>
      </w:r>
      <w:r w:rsidR="00661F75" w:rsidRPr="00BA6536">
        <w:rPr>
          <w:rFonts w:eastAsia="Times New Roman" w:cs="Times New Roman"/>
        </w:rPr>
        <w:t xml:space="preserve"> </w:t>
      </w:r>
      <w:r w:rsidRPr="00BA6536">
        <w:rPr>
          <w:rFonts w:eastAsia="Times New Roman" w:cs="Times New Roman"/>
        </w:rPr>
        <w:t>Community Development Department, Planning Commission.</w:t>
      </w:r>
    </w:p>
    <w:p w14:paraId="17282F75" w14:textId="77777777" w:rsidR="00FE6673" w:rsidRPr="00BA6536" w:rsidRDefault="00FE6673" w:rsidP="00FE6673">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14:paraId="7BB14875"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Chapter 16 regulations have been amended limiting the size of housing units to 640 square feet on parcel under one acre, helping to ensure continued affordability of the units.  Seven second units were permitted and constructed during the planning period.</w:t>
      </w:r>
    </w:p>
    <w:p w14:paraId="5B35B01B"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35B1E289" w14:textId="77777777" w:rsidR="00FE6673" w:rsidRPr="00BA6536" w:rsidRDefault="00FE6673" w:rsidP="00FE667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044C7CBD" w14:textId="77777777" w:rsidR="00FE6673" w:rsidRPr="00BA6536" w:rsidRDefault="00FE6673" w:rsidP="00FE6673">
      <w:pPr>
        <w:spacing w:after="0" w:line="280" w:lineRule="atLeast"/>
        <w:ind w:left="1080" w:hanging="1080"/>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89984" behindDoc="0" locked="0" layoutInCell="1" allowOverlap="1" wp14:anchorId="0EE6A5D5" wp14:editId="41748C68">
                <wp:simplePos x="0" y="0"/>
                <wp:positionH relativeFrom="column">
                  <wp:posOffset>0</wp:posOffset>
                </wp:positionH>
                <wp:positionV relativeFrom="paragraph">
                  <wp:posOffset>0</wp:posOffset>
                </wp:positionV>
                <wp:extent cx="60198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41F9D37" id="Straight Connector 3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otFYcs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14:paraId="0559FF68" w14:textId="77777777" w:rsidR="00FE6673" w:rsidRPr="00BA6536" w:rsidRDefault="00D72B24" w:rsidP="00FE6673">
      <w:pPr>
        <w:spacing w:after="0" w:line="280" w:lineRule="atLeast"/>
        <w:ind w:left="1170" w:hanging="1170"/>
        <w:jc w:val="both"/>
        <w:rPr>
          <w:rFonts w:eastAsia="Times New Roman" w:cs="Times New Roman"/>
          <w:b/>
        </w:rPr>
      </w:pPr>
      <w:r>
        <w:rPr>
          <w:rFonts w:eastAsia="Times New Roman" w:cs="Times New Roman"/>
          <w:b/>
        </w:rPr>
        <w:t>Program 2:4</w:t>
      </w:r>
      <w:r w:rsidR="00FE6673" w:rsidRPr="00BA6536">
        <w:rPr>
          <w:rFonts w:eastAsia="Times New Roman" w:cs="Times New Roman"/>
          <w:b/>
        </w:rPr>
        <w:tab/>
        <w:t>The County shall not impose requirements for housing construction that increase housing costs other than those mandated by state law or those determined necessary to protect the health, welfare and safety of the residents of the County.</w:t>
      </w:r>
    </w:p>
    <w:p w14:paraId="68A7FAB7" w14:textId="77777777" w:rsidR="00FE6673" w:rsidRPr="00BA6536" w:rsidRDefault="00661F75" w:rsidP="00FE6673">
      <w:pPr>
        <w:spacing w:after="0" w:line="280" w:lineRule="atLeast"/>
        <w:ind w:left="2340" w:hanging="2340"/>
        <w:jc w:val="both"/>
        <w:rPr>
          <w:rFonts w:eastAsia="Times New Roman" w:cs="Times New Roman"/>
        </w:rPr>
      </w:pPr>
      <w:r w:rsidRPr="00BA6536">
        <w:rPr>
          <w:rFonts w:eastAsia="Times New Roman" w:cs="Times New Roman"/>
        </w:rPr>
        <w:t xml:space="preserve">Responsible Agencies: </w:t>
      </w:r>
      <w:r w:rsidR="00FE6673" w:rsidRPr="00BA6536">
        <w:rPr>
          <w:rFonts w:eastAsia="Times New Roman" w:cs="Times New Roman"/>
        </w:rPr>
        <w:t>Public Works Department, Environmental Health Department, Community Development Department, Planning Commission.</w:t>
      </w:r>
    </w:p>
    <w:p w14:paraId="0F4A38B1" w14:textId="77777777" w:rsidR="00FE6673" w:rsidRPr="00BA6536" w:rsidRDefault="00FE6673" w:rsidP="00FE6673">
      <w:pPr>
        <w:tabs>
          <w:tab w:val="left" w:pos="1620"/>
        </w:tabs>
        <w:spacing w:after="0" w:line="280" w:lineRule="atLeast"/>
        <w:ind w:left="2520" w:hanging="2520"/>
        <w:rPr>
          <w:rFonts w:eastAsia="Times New Roman" w:cs="Times New Roman"/>
        </w:rPr>
      </w:pPr>
      <w:r w:rsidRPr="00BA6536">
        <w:rPr>
          <w:rFonts w:eastAsia="Times New Roman" w:cs="Times New Roman"/>
        </w:rPr>
        <w:t>Timeframe: Ongoing, 2007-2014.</w:t>
      </w:r>
    </w:p>
    <w:p w14:paraId="2D6D9B98" w14:textId="77777777" w:rsidR="00FE6673" w:rsidRPr="00BA6536" w:rsidRDefault="00FE6673" w:rsidP="00FE6673">
      <w:pPr>
        <w:tabs>
          <w:tab w:val="left" w:pos="1080"/>
          <w:tab w:val="left" w:pos="1260"/>
        </w:tabs>
        <w:spacing w:after="0" w:line="280" w:lineRule="atLeast"/>
        <w:ind w:left="1170" w:hanging="1170"/>
        <w:rPr>
          <w:rFonts w:eastAsia="Times New Roman" w:cs="Times New Roman"/>
          <w:b/>
        </w:rPr>
      </w:pPr>
      <w:r w:rsidRPr="00BA6536">
        <w:rPr>
          <w:rFonts w:eastAsia="Times New Roman" w:cs="Times New Roman"/>
          <w:b/>
        </w:rPr>
        <w:t xml:space="preserve">Progress:  </w:t>
      </w:r>
      <w:r w:rsidRPr="00BA6536">
        <w:rPr>
          <w:rFonts w:eastAsia="Times New Roman" w:cs="Times New Roman"/>
        </w:rPr>
        <w:t>The County offered a limited fee reduction program for all building permits that resulted in one hundred thousand dollars of fee reductions during 2011-12.  The Board of Supervisors eliminated the Development Impact Fee program and temporarily waived the Housing Mitigation Ordinance. Building division staff continues to evaluate fee structures and consider fee incentives such as reductions for solar energy projects.</w:t>
      </w:r>
      <w:r w:rsidRPr="00BA6536">
        <w:rPr>
          <w:rFonts w:eastAsia="Times New Roman" w:cs="Times New Roman"/>
          <w:b/>
        </w:rPr>
        <w:t xml:space="preserve">  </w:t>
      </w:r>
    </w:p>
    <w:p w14:paraId="60F6E005"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79FD1CCB" w14:textId="77777777" w:rsidR="00FE6673" w:rsidRPr="00BA6536" w:rsidRDefault="00FE6673" w:rsidP="00FE667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7E46970C" w14:textId="77777777" w:rsidR="00FE6673" w:rsidRPr="00BA6536" w:rsidRDefault="00FE6673" w:rsidP="00FE6673">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91008" behindDoc="0" locked="0" layoutInCell="1" allowOverlap="1" wp14:anchorId="2F3B5C2E" wp14:editId="134C27DB">
                <wp:simplePos x="0" y="0"/>
                <wp:positionH relativeFrom="column">
                  <wp:posOffset>0</wp:posOffset>
                </wp:positionH>
                <wp:positionV relativeFrom="paragraph">
                  <wp:posOffset>-635</wp:posOffset>
                </wp:positionV>
                <wp:extent cx="60198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B843922" id="Straight Connector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BDqZ2L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751D9893"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2:5</w:t>
      </w:r>
      <w:r w:rsidR="00FE6673" w:rsidRPr="00BA6536">
        <w:rPr>
          <w:rFonts w:eastAsia="Times New Roman" w:cs="Times New Roman"/>
          <w:b/>
        </w:rPr>
        <w:tab/>
        <w:t xml:space="preserve">Maintain up-to-date information on federal and state housing-related programs and funding opportunities. </w:t>
      </w:r>
    </w:p>
    <w:p w14:paraId="0B732AEE" w14:textId="77777777" w:rsidR="00FE6673" w:rsidRPr="00BA6536" w:rsidRDefault="00661F75" w:rsidP="00FE6673">
      <w:pPr>
        <w:spacing w:after="0" w:line="280" w:lineRule="atLeast"/>
        <w:ind w:left="2340" w:hanging="2340"/>
        <w:jc w:val="both"/>
        <w:rPr>
          <w:rFonts w:eastAsia="Times New Roman" w:cs="Times New Roman"/>
        </w:rPr>
      </w:pPr>
      <w:r w:rsidRPr="00BA6536">
        <w:rPr>
          <w:rFonts w:eastAsia="Times New Roman" w:cs="Times New Roman"/>
        </w:rPr>
        <w:t xml:space="preserve">Responsible Agencies: </w:t>
      </w:r>
      <w:r w:rsidR="00FE6673" w:rsidRPr="00BA6536">
        <w:rPr>
          <w:rFonts w:eastAsia="Times New Roman" w:cs="Times New Roman"/>
        </w:rPr>
        <w:t>Mono County Housing Authority.</w:t>
      </w:r>
    </w:p>
    <w:p w14:paraId="5C4292BF" w14:textId="77777777" w:rsidR="00FE6673" w:rsidRPr="00BA6536" w:rsidRDefault="00FE6673" w:rsidP="00FE6673">
      <w:pPr>
        <w:tabs>
          <w:tab w:val="left" w:pos="1620"/>
        </w:tabs>
        <w:spacing w:after="0" w:line="280" w:lineRule="atLeast"/>
        <w:ind w:left="2340" w:hanging="2340"/>
        <w:rPr>
          <w:rFonts w:eastAsia="Times New Roman" w:cs="Times New Roman"/>
        </w:rPr>
      </w:pPr>
      <w:r w:rsidRPr="00BA6536">
        <w:rPr>
          <w:rFonts w:eastAsia="Times New Roman" w:cs="Times New Roman"/>
        </w:rPr>
        <w:t>Timeframe: Ongoing, 2007-2014.  Provide links by 2010; update annually.</w:t>
      </w:r>
    </w:p>
    <w:p w14:paraId="0104A2A0" w14:textId="77777777" w:rsidR="00FE6673" w:rsidRPr="00BA6536" w:rsidRDefault="00FE6673" w:rsidP="00661F75">
      <w:pPr>
        <w:tabs>
          <w:tab w:val="left" w:pos="0"/>
          <w:tab w:val="left" w:pos="1260"/>
        </w:tabs>
        <w:spacing w:after="0" w:line="280" w:lineRule="atLeast"/>
        <w:rPr>
          <w:rFonts w:eastAsia="Times New Roman" w:cs="Times New Roman"/>
          <w:b/>
        </w:rPr>
      </w:pPr>
      <w:r w:rsidRPr="00BA6536">
        <w:rPr>
          <w:rFonts w:eastAsia="Times New Roman" w:cs="Times New Roman"/>
          <w:b/>
        </w:rPr>
        <w:t xml:space="preserve">Progress:  </w:t>
      </w:r>
      <w:r w:rsidRPr="00BA6536">
        <w:rPr>
          <w:rFonts w:eastAsia="Times New Roman" w:cs="Times New Roman"/>
        </w:rPr>
        <w:t>The County has developed a new web-site and housing related program information, including meetings of the housing authority are regularly posted on the web-site.</w:t>
      </w:r>
      <w:r w:rsidRPr="00BA6536">
        <w:rPr>
          <w:rFonts w:eastAsia="Times New Roman" w:cs="Times New Roman"/>
          <w:b/>
        </w:rPr>
        <w:t xml:space="preserve"> </w:t>
      </w:r>
    </w:p>
    <w:p w14:paraId="29DF838E"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7EC6B799" w14:textId="77777777" w:rsidR="00FE6673" w:rsidRPr="00BA6536" w:rsidRDefault="00FE6673" w:rsidP="00FE6673">
      <w:pPr>
        <w:spacing w:after="0" w:line="280" w:lineRule="atLeast"/>
        <w:ind w:left="360" w:hanging="36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 xml:space="preserve">Program will continue. </w:t>
      </w:r>
    </w:p>
    <w:p w14:paraId="287E6C32" w14:textId="77777777" w:rsidR="00FE6673" w:rsidRPr="00BA6536" w:rsidRDefault="00FE6673" w:rsidP="00FE6673">
      <w:pPr>
        <w:spacing w:after="0" w:line="280" w:lineRule="atLeast"/>
        <w:ind w:left="360" w:hanging="360"/>
        <w:jc w:val="both"/>
        <w:rPr>
          <w:rFonts w:ascii="Times New Roman" w:eastAsia="Times New Roman" w:hAnsi="Times New Roman" w:cs="Times New Roman"/>
          <w:b/>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692032" behindDoc="0" locked="0" layoutInCell="1" allowOverlap="1" wp14:anchorId="6BA1B98C" wp14:editId="36582A85">
                <wp:simplePos x="0" y="0"/>
                <wp:positionH relativeFrom="column">
                  <wp:posOffset>0</wp:posOffset>
                </wp:positionH>
                <wp:positionV relativeFrom="paragraph">
                  <wp:posOffset>-635</wp:posOffset>
                </wp:positionV>
                <wp:extent cx="60198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2E1F0A2" id="Straight Connector 3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I5jSiT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150982EC"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2:6</w:t>
      </w:r>
      <w:r w:rsidR="00FE6673" w:rsidRPr="00BA6536">
        <w:rPr>
          <w:rFonts w:eastAsia="Times New Roman" w:cs="Times New Roman"/>
          <w:b/>
        </w:rPr>
        <w:tab/>
        <w:t>The Mono County Housing Authority, in cooperation with local social service agencies and Mammoth Lakes Housing, Inc., shall participate in and coordinate housing programs designed to ease the burden of housing costs for residents, including seniors and disabled.</w:t>
      </w:r>
    </w:p>
    <w:p w14:paraId="28F05986" w14:textId="77777777" w:rsidR="00FE6673" w:rsidRPr="00BA6536" w:rsidRDefault="00FE6673" w:rsidP="00FE667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14:paraId="27A72F97" w14:textId="77777777" w:rsidR="00FE6673" w:rsidRPr="00BA6536" w:rsidRDefault="00FE6673" w:rsidP="00FE6673">
      <w:pPr>
        <w:spacing w:after="0" w:line="280" w:lineRule="atLeast"/>
        <w:ind w:left="1080" w:hanging="1080"/>
        <w:jc w:val="both"/>
        <w:rPr>
          <w:rFonts w:eastAsia="Times New Roman" w:cs="Times New Roman"/>
        </w:rPr>
      </w:pPr>
      <w:r w:rsidRPr="00BA6536">
        <w:rPr>
          <w:rFonts w:eastAsia="Times New Roman" w:cs="Times New Roman"/>
        </w:rPr>
        <w:t>Timeframe:  Ongoing, 2007-2014.</w:t>
      </w:r>
    </w:p>
    <w:p w14:paraId="53D97963" w14:textId="77777777" w:rsidR="00FE6673" w:rsidRPr="00BA6536" w:rsidRDefault="00FE6673" w:rsidP="00FE6673">
      <w:pPr>
        <w:tabs>
          <w:tab w:val="left" w:pos="1080"/>
          <w:tab w:val="left" w:pos="1260"/>
        </w:tabs>
        <w:spacing w:after="0" w:line="280" w:lineRule="atLeast"/>
        <w:ind w:left="2340" w:hanging="234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Mammoth Lakes Housing and IMACA continue to take the lead  </w:t>
      </w:r>
      <w:r w:rsidR="00B021DB" w:rsidRPr="00BA6536">
        <w:rPr>
          <w:rFonts w:eastAsia="Times New Roman" w:cs="Times New Roman"/>
        </w:rPr>
        <w:t>in direct benefit programs.</w:t>
      </w:r>
    </w:p>
    <w:p w14:paraId="5912BA62"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B021DB" w:rsidRPr="00BA6536">
        <w:rPr>
          <w:rFonts w:eastAsia="Times New Roman" w:cs="Times New Roman"/>
        </w:rPr>
        <w:t>Successful, Ongoing.</w:t>
      </w:r>
    </w:p>
    <w:p w14:paraId="3E851F43" w14:textId="77777777" w:rsidR="00FE6673" w:rsidRPr="00BA6536" w:rsidRDefault="00FE6673" w:rsidP="00FE6673">
      <w:pPr>
        <w:tabs>
          <w:tab w:val="left" w:pos="1080"/>
        </w:tabs>
        <w:spacing w:after="0" w:line="280" w:lineRule="atLeast"/>
        <w:ind w:left="1080" w:hanging="1080"/>
        <w:jc w:val="both"/>
        <w:rPr>
          <w:rFonts w:eastAsia="Times New Roman" w:cs="Times New Roman"/>
          <w:b/>
        </w:rPr>
      </w:pPr>
      <w:r w:rsidRPr="00BA6536">
        <w:rPr>
          <w:rFonts w:eastAsia="Times New Roman" w:cs="Times New Roman"/>
          <w:b/>
        </w:rPr>
        <w:t>Adjustments to Program:</w:t>
      </w:r>
      <w:r w:rsidR="00B021DB" w:rsidRPr="00BA6536">
        <w:rPr>
          <w:rFonts w:eastAsia="Times New Roman" w:cs="Times New Roman"/>
          <w:b/>
        </w:rPr>
        <w:t xml:space="preserve"> </w:t>
      </w:r>
      <w:r w:rsidR="00B021DB" w:rsidRPr="00BA6536">
        <w:rPr>
          <w:rFonts w:eastAsia="Times New Roman" w:cs="Times New Roman"/>
        </w:rPr>
        <w:t>Program will continue with inclusion of IMACA.</w:t>
      </w:r>
    </w:p>
    <w:p w14:paraId="140D2921" w14:textId="77777777" w:rsidR="00FE6673" w:rsidRPr="00BA6536" w:rsidRDefault="00FE6673" w:rsidP="00FE6673">
      <w:pPr>
        <w:tabs>
          <w:tab w:val="left" w:pos="1080"/>
        </w:tabs>
        <w:spacing w:after="0" w:line="280" w:lineRule="atLeast"/>
        <w:ind w:left="1080" w:hanging="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93056" behindDoc="0" locked="0" layoutInCell="1" allowOverlap="1" wp14:anchorId="6F63F120" wp14:editId="68265D65">
                <wp:simplePos x="0" y="0"/>
                <wp:positionH relativeFrom="column">
                  <wp:posOffset>0</wp:posOffset>
                </wp:positionH>
                <wp:positionV relativeFrom="paragraph">
                  <wp:posOffset>-635</wp:posOffset>
                </wp:positionV>
                <wp:extent cx="601980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EA7C391" id="Straight Connector 3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YOkMP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57EF9E05"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2:7</w:t>
      </w:r>
      <w:r w:rsidR="00FE6673" w:rsidRPr="00BA6536">
        <w:rPr>
          <w:rFonts w:eastAsia="Times New Roman" w:cs="Times New Roman"/>
          <w:b/>
        </w:rPr>
        <w:tab/>
        <w:t>During the permit review process, encourage housing designs and site plans that capitalize on solar heating and cooling advantages to reduce utility costs.</w:t>
      </w:r>
    </w:p>
    <w:p w14:paraId="1E8E0727" w14:textId="77777777" w:rsidR="00FE6673" w:rsidRPr="00BA6536" w:rsidRDefault="00FE6673" w:rsidP="00FE6673">
      <w:pPr>
        <w:spacing w:after="0" w:line="280" w:lineRule="atLeast"/>
        <w:ind w:left="1080" w:hanging="1080"/>
        <w:jc w:val="both"/>
        <w:rPr>
          <w:rFonts w:eastAsia="Times New Roman" w:cs="Times New Roman"/>
        </w:rPr>
      </w:pPr>
      <w:r w:rsidRPr="00BA6536">
        <w:rPr>
          <w:rFonts w:eastAsia="Times New Roman" w:cs="Times New Roman"/>
        </w:rPr>
        <w:t>Responsible Agencies:  Community Development Department.</w:t>
      </w:r>
    </w:p>
    <w:p w14:paraId="49B514C5" w14:textId="77777777" w:rsidR="00FE6673" w:rsidRPr="00BA6536" w:rsidRDefault="00FE6673" w:rsidP="00FE6673">
      <w:pPr>
        <w:spacing w:after="0" w:line="280" w:lineRule="atLeast"/>
        <w:jc w:val="both"/>
        <w:rPr>
          <w:rFonts w:eastAsia="Times New Roman" w:cs="Times New Roman"/>
        </w:rPr>
      </w:pPr>
      <w:r w:rsidRPr="00BA6536">
        <w:rPr>
          <w:rFonts w:eastAsia="Times New Roman" w:cs="Times New Roman"/>
        </w:rPr>
        <w:t>Timeframe:  Ongoing, 2007-2014.</w:t>
      </w:r>
    </w:p>
    <w:p w14:paraId="42EAACD9"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Solar orientation of homes is included in our residential design guidelines, the building division has streamlined the solar permitting process. </w:t>
      </w:r>
    </w:p>
    <w:p w14:paraId="3FF5CE29"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53F2BFC1" w14:textId="77777777" w:rsidR="00FE6673" w:rsidRPr="00BA6536" w:rsidRDefault="00FE6673" w:rsidP="00FE6673">
      <w:pPr>
        <w:tabs>
          <w:tab w:val="left" w:pos="1080"/>
        </w:tabs>
        <w:spacing w:after="0" w:line="280" w:lineRule="atLeast"/>
        <w:ind w:left="1080" w:hanging="1080"/>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Program will continue.</w:t>
      </w:r>
    </w:p>
    <w:p w14:paraId="22B3262F" w14:textId="77777777" w:rsidR="00FE6673" w:rsidRPr="00BA6536" w:rsidRDefault="00FE6673" w:rsidP="00FE6673">
      <w:pPr>
        <w:tabs>
          <w:tab w:val="left" w:pos="1080"/>
        </w:tabs>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94080" behindDoc="0" locked="0" layoutInCell="1" allowOverlap="1" wp14:anchorId="22D9E6CD" wp14:editId="1C780AA9">
                <wp:simplePos x="0" y="0"/>
                <wp:positionH relativeFrom="column">
                  <wp:posOffset>0</wp:posOffset>
                </wp:positionH>
                <wp:positionV relativeFrom="paragraph">
                  <wp:posOffset>-635</wp:posOffset>
                </wp:positionV>
                <wp:extent cx="60198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3562338" id="Straight Connector 3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BV8JSg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4DCC8F19"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2:8</w:t>
      </w:r>
      <w:r w:rsidR="00FE6673" w:rsidRPr="00BA6536">
        <w:rPr>
          <w:rFonts w:eastAsia="Times New Roman" w:cs="Times New Roman"/>
          <w:b/>
        </w:rPr>
        <w:tab/>
        <w:t>Consider allowing an increase in density for those projects built for rental purposes in exchange for an agreement to retain rental units at an affordable price in perpetuity.</w:t>
      </w:r>
    </w:p>
    <w:p w14:paraId="3B9A8A7F" w14:textId="77777777" w:rsidR="00FE6673" w:rsidRPr="00BA6536" w:rsidRDefault="004A0D57" w:rsidP="00FE6673">
      <w:pPr>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00FE6673" w:rsidRPr="00BA6536">
        <w:rPr>
          <w:rFonts w:eastAsia="Times New Roman" w:cs="Times New Roman"/>
        </w:rPr>
        <w:t>Community Development Department, Planning Commission.</w:t>
      </w:r>
    </w:p>
    <w:p w14:paraId="32C010DD" w14:textId="77777777" w:rsidR="00FE6673" w:rsidRPr="00BA6536" w:rsidRDefault="00FE6673" w:rsidP="00FE6673">
      <w:pPr>
        <w:tabs>
          <w:tab w:val="left" w:pos="3240"/>
        </w:tabs>
        <w:spacing w:after="0" w:line="280" w:lineRule="atLeast"/>
        <w:jc w:val="both"/>
        <w:rPr>
          <w:rFonts w:eastAsia="Times New Roman" w:cs="Times New Roman"/>
        </w:rPr>
      </w:pPr>
      <w:r w:rsidRPr="00BA6536">
        <w:rPr>
          <w:rFonts w:eastAsia="Times New Roman" w:cs="Times New Roman"/>
        </w:rPr>
        <w:t>Timeframe:  2011.</w:t>
      </w:r>
    </w:p>
    <w:p w14:paraId="0D53C940"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Density bonuses are included within the Housing Mitigation Ordinance.</w:t>
      </w:r>
      <w:r w:rsidRPr="00BA6536">
        <w:rPr>
          <w:rFonts w:eastAsia="Times New Roman" w:cs="Times New Roman"/>
          <w:b/>
        </w:rPr>
        <w:t xml:space="preserve"> </w:t>
      </w:r>
      <w:r w:rsidRPr="00BA6536">
        <w:rPr>
          <w:rFonts w:eastAsia="Times New Roman" w:cs="Times New Roman"/>
        </w:rPr>
        <w:t xml:space="preserve">In 2011, the Board of Supervisors suspended the Housing Mitigation Ordinance, the ordinance is scheduled to be reviewed by the Housing Authority before being re-implemented, currently the re-implementation date is January 2015. </w:t>
      </w:r>
    </w:p>
    <w:p w14:paraId="625C635B"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Ordinance Suspended, Ongoing.</w:t>
      </w:r>
    </w:p>
    <w:p w14:paraId="0D5C825D" w14:textId="77777777" w:rsidR="00FE6673" w:rsidRPr="00BA6536" w:rsidRDefault="00FE6673" w:rsidP="00FE6673">
      <w:pPr>
        <w:tabs>
          <w:tab w:val="left" w:pos="1080"/>
          <w:tab w:val="left" w:pos="1260"/>
        </w:tabs>
        <w:spacing w:after="0" w:line="280" w:lineRule="atLeast"/>
        <w:ind w:left="2340" w:hanging="2340"/>
        <w:rPr>
          <w:rFonts w:eastAsia="Times New Roman" w:cs="Times New Roman"/>
          <w:b/>
          <w:highlight w:val="yellow"/>
        </w:rPr>
      </w:pPr>
      <w:r w:rsidRPr="00BA6536">
        <w:rPr>
          <w:rFonts w:eastAsia="Times New Roman" w:cs="Times New Roman"/>
          <w:b/>
        </w:rPr>
        <w:t xml:space="preserve">Adjustments to Program: </w:t>
      </w:r>
      <w:r w:rsidRPr="00BA6536">
        <w:rPr>
          <w:rFonts w:eastAsia="Times New Roman" w:cs="Times New Roman"/>
        </w:rPr>
        <w:t>Program will continue with adjustments to the ordinance likely.</w:t>
      </w:r>
      <w:r w:rsidRPr="00BA6536">
        <w:rPr>
          <w:rFonts w:eastAsia="Times New Roman" w:cs="Times New Roman"/>
          <w:b/>
          <w:highlight w:val="yellow"/>
        </w:rPr>
        <w:t xml:space="preserve"> </w:t>
      </w:r>
    </w:p>
    <w:p w14:paraId="3101D745" w14:textId="77777777" w:rsidR="00FE6673" w:rsidRPr="00BA6536" w:rsidRDefault="00FE6673" w:rsidP="00FE6673">
      <w:pPr>
        <w:tabs>
          <w:tab w:val="left" w:pos="3240"/>
        </w:tabs>
        <w:spacing w:after="0" w:line="280" w:lineRule="atLeast"/>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95104" behindDoc="0" locked="0" layoutInCell="1" allowOverlap="1" wp14:anchorId="443DB41C" wp14:editId="0E33714A">
                <wp:simplePos x="0" y="0"/>
                <wp:positionH relativeFrom="column">
                  <wp:posOffset>0</wp:posOffset>
                </wp:positionH>
                <wp:positionV relativeFrom="paragraph">
                  <wp:posOffset>-635</wp:posOffset>
                </wp:positionV>
                <wp:extent cx="60198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6B71E7E" id="Straight Connector 3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BvNuCf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2EAC2F5C"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Program 2:9</w:t>
      </w:r>
      <w:r w:rsidR="00FE6673" w:rsidRPr="00BA6536">
        <w:rPr>
          <w:rFonts w:eastAsia="Times New Roman" w:cs="Times New Roman"/>
          <w:b/>
        </w:rPr>
        <w:tab/>
        <w:t>Development projects and building permits shall comply with the Mono County Housing Requirements (Mono County Code 15.40), which requires development projects to include affordable housing. The continued affordability of these units shall be assured through enforceable documents/deed restrictions that flow with the sale or ownership transference of the property. Smaller projects shall contribute their fair share via in-lieu housing mitigation fees or other comparable mechanisms.  The majority of housing units required by this program must be appropriate for families; i.e., not dormitory-style units, and must be reserved for families/households employed in the local economy.</w:t>
      </w:r>
    </w:p>
    <w:p w14:paraId="1EA1A63B" w14:textId="77777777" w:rsidR="00FE6673" w:rsidRPr="00BA6536" w:rsidRDefault="004A0D57" w:rsidP="00FE6673">
      <w:pPr>
        <w:tabs>
          <w:tab w:val="left" w:pos="1440"/>
        </w:tabs>
        <w:spacing w:after="0" w:line="280" w:lineRule="atLeast"/>
        <w:ind w:left="2520" w:hanging="2520"/>
        <w:rPr>
          <w:rFonts w:eastAsia="Times New Roman" w:cs="Times New Roman"/>
        </w:rPr>
      </w:pPr>
      <w:r w:rsidRPr="00BA6536">
        <w:rPr>
          <w:rFonts w:eastAsia="Times New Roman" w:cs="Times New Roman"/>
        </w:rPr>
        <w:t xml:space="preserve">Responsible Agencies: </w:t>
      </w:r>
      <w:r w:rsidR="00FE6673" w:rsidRPr="00BA6536">
        <w:rPr>
          <w:rFonts w:eastAsia="Times New Roman" w:cs="Times New Roman"/>
        </w:rPr>
        <w:t>Community Development Department</w:t>
      </w:r>
      <w:r w:rsidRPr="00BA6536">
        <w:rPr>
          <w:rFonts w:eastAsia="Times New Roman" w:cs="Times New Roman"/>
        </w:rPr>
        <w:t xml:space="preserve">, Planning Commission, Board of </w:t>
      </w:r>
      <w:r w:rsidR="00FE6673" w:rsidRPr="00BA6536">
        <w:rPr>
          <w:rFonts w:eastAsia="Times New Roman" w:cs="Times New Roman"/>
        </w:rPr>
        <w:t>Supervisors.</w:t>
      </w:r>
    </w:p>
    <w:p w14:paraId="3A72D5B0" w14:textId="77777777"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Ongoing, 2007-2014.</w:t>
      </w:r>
    </w:p>
    <w:p w14:paraId="627C99E0"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In 2011, the Board of Supervisors suspended the Housing Mitigation Ordinance, the ordinance is scheduled to be reviewed by the Housing Authority before being re-implemented, currently the re-implementation date is January 2015. </w:t>
      </w:r>
    </w:p>
    <w:p w14:paraId="61281784"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Ordinance Suspended, Ongoing.</w:t>
      </w:r>
    </w:p>
    <w:p w14:paraId="5A1B076E" w14:textId="77777777" w:rsidR="00FE6673" w:rsidRPr="00BA6536" w:rsidRDefault="00FE6673" w:rsidP="00FE667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 xml:space="preserve">Program will continue with adjustments to the ordinance likely.  </w:t>
      </w:r>
    </w:p>
    <w:p w14:paraId="59F8F70D" w14:textId="77777777" w:rsidR="00FE6673" w:rsidRPr="00BA6536" w:rsidRDefault="00FE6673" w:rsidP="00FE6673">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696128" behindDoc="0" locked="0" layoutInCell="1" allowOverlap="1" wp14:anchorId="668DD290" wp14:editId="69D3BE5E">
                <wp:simplePos x="0" y="0"/>
                <wp:positionH relativeFrom="column">
                  <wp:posOffset>0</wp:posOffset>
                </wp:positionH>
                <wp:positionV relativeFrom="paragraph">
                  <wp:posOffset>-635</wp:posOffset>
                </wp:positionV>
                <wp:extent cx="601980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2B3B7E" id="Straight Connector 3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DWB2+I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3F2AA3BC"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 xml:space="preserve">Program 2:10 </w:t>
      </w:r>
      <w:r w:rsidR="00FE6673" w:rsidRPr="00BA6536">
        <w:rPr>
          <w:rFonts w:eastAsia="Times New Roman" w:cs="Times New Roman"/>
          <w:b/>
        </w:rPr>
        <w:tab/>
        <w:t>Implement housing impact fees and other applicable mitigation strategies based on recommendations from fee impact studies that document the fair share impact of new development on the limited housing supply. Coordinate regional housing mitigation and fee impact programs with those of the Town of Mammoth Lakes.</w:t>
      </w:r>
    </w:p>
    <w:p w14:paraId="61D8405B" w14:textId="77777777"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Board of Supervisors.</w:t>
      </w:r>
    </w:p>
    <w:p w14:paraId="4029D3D3" w14:textId="77777777"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Coordinate with Mammoth Lakes by 2010; review and update annually.</w:t>
      </w:r>
    </w:p>
    <w:p w14:paraId="1FB02DA8"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In 2011, the Board of Supervisors suspended the Housing Mitigation Ordinance, the ordinance is scheduled to be reviewed by the Housing Authority before being re-implemented, currently the re-implementation date is January 2015.</w:t>
      </w:r>
    </w:p>
    <w:p w14:paraId="44D43E01"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Ordinance Suspended, Ongoing.</w:t>
      </w:r>
    </w:p>
    <w:p w14:paraId="1D5B7A24" w14:textId="77777777" w:rsidR="00FE6673" w:rsidRPr="00BA6536" w:rsidRDefault="00FE6673" w:rsidP="00FE6673">
      <w:pPr>
        <w:spacing w:after="0" w:line="280" w:lineRule="atLeast"/>
        <w:ind w:left="1080" w:hanging="1080"/>
        <w:jc w:val="both"/>
        <w:rPr>
          <w:rFonts w:eastAsia="Times New Roman" w:cs="Times New Roman"/>
          <w:b/>
        </w:rPr>
      </w:pPr>
      <w:r w:rsidRPr="00BA6536">
        <w:rPr>
          <w:rFonts w:eastAsia="Times New Roman" w:cs="Times New Roman"/>
          <w:b/>
        </w:rPr>
        <w:t>Adjustments to Program:</w:t>
      </w:r>
      <w:r w:rsidRPr="00BA6536">
        <w:rPr>
          <w:rFonts w:eastAsia="Times New Roman" w:cs="Times New Roman"/>
        </w:rPr>
        <w:t xml:space="preserve"> Program will continue with adjustments to the ordinance likely.  </w:t>
      </w:r>
    </w:p>
    <w:p w14:paraId="59697F62" w14:textId="77777777" w:rsidR="00FE6673" w:rsidRPr="00BA6536" w:rsidRDefault="00FE6673" w:rsidP="00FE6673">
      <w:pPr>
        <w:tabs>
          <w:tab w:val="left" w:pos="1440"/>
        </w:tabs>
        <w:spacing w:after="0" w:line="280" w:lineRule="atLeast"/>
        <w:ind w:left="1080"/>
        <w:jc w:val="both"/>
        <w:rPr>
          <w:rFonts w:ascii="Times New Roman" w:eastAsia="Times New Roman" w:hAnsi="Times New Roman" w:cs="Times New Roman"/>
          <w:sz w:val="24"/>
          <w:szCs w:val="20"/>
        </w:rPr>
      </w:pPr>
      <w:r w:rsidRPr="00BA6536">
        <w:rPr>
          <w:rFonts w:ascii="New York" w:eastAsia="Times New Roman" w:hAnsi="New York" w:cs="Times New Roman"/>
          <w:noProof/>
          <w:sz w:val="24"/>
          <w:szCs w:val="20"/>
        </w:rPr>
        <mc:AlternateContent>
          <mc:Choice Requires="wps">
            <w:drawing>
              <wp:anchor distT="0" distB="0" distL="114300" distR="114300" simplePos="0" relativeHeight="251697152" behindDoc="0" locked="0" layoutInCell="1" allowOverlap="1" wp14:anchorId="7B3B171A" wp14:editId="24F2436C">
                <wp:simplePos x="0" y="0"/>
                <wp:positionH relativeFrom="column">
                  <wp:posOffset>0</wp:posOffset>
                </wp:positionH>
                <wp:positionV relativeFrom="paragraph">
                  <wp:posOffset>-635</wp:posOffset>
                </wp:positionV>
                <wp:extent cx="60198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66E35A2" id="Straight Connector 4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CKfpY7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3F48B74E"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 xml:space="preserve">Program 2:11 </w:t>
      </w:r>
      <w:r w:rsidR="00FE6673" w:rsidRPr="00BA6536">
        <w:rPr>
          <w:rFonts w:eastAsia="Times New Roman" w:cs="Times New Roman"/>
          <w:b/>
        </w:rPr>
        <w:tab/>
        <w:t>Through collaboration with a regional housing authority or similar entity, develop a range of affordable housing programs that address rental units, home ownership and alternative approaches to affordable housing, such as:</w:t>
      </w:r>
    </w:p>
    <w:p w14:paraId="63AD09F8" w14:textId="77777777"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 threshold fund that provides zero interest security deposit loans for tenants;</w:t>
      </w:r>
    </w:p>
    <w:p w14:paraId="006458BF" w14:textId="77777777"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apartments for fixed-income seniors;</w:t>
      </w:r>
    </w:p>
    <w:p w14:paraId="24AD4F36" w14:textId="77777777"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 community land trust used to acquire land for housing;</w:t>
      </w:r>
    </w:p>
    <w:p w14:paraId="27C48A76" w14:textId="77777777"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sweat-equity programs that enable first-time buyers to contribute their time/labor toward the purchase of a home;</w:t>
      </w:r>
    </w:p>
    <w:p w14:paraId="3A008970" w14:textId="77777777"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co-housing for income qualified buyers;</w:t>
      </w:r>
    </w:p>
    <w:p w14:paraId="41A56CD9" w14:textId="77777777" w:rsidR="00FE6673" w:rsidRPr="00BA6536" w:rsidRDefault="00FE6673"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deed restrictions; and</w:t>
      </w:r>
    </w:p>
    <w:p w14:paraId="024D8E89" w14:textId="77777777" w:rsidR="00FE6673" w:rsidRPr="00BA6536" w:rsidRDefault="006D3635" w:rsidP="00FE6673">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energy efficient designs and prescriptive designs.</w:t>
      </w:r>
    </w:p>
    <w:p w14:paraId="7461DF1B" w14:textId="77777777" w:rsidR="00FE6673" w:rsidRPr="00BA6536" w:rsidRDefault="006D3635"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 xml:space="preserve">Responsible Agencies: CDD, </w:t>
      </w:r>
      <w:r w:rsidR="00FE6673" w:rsidRPr="00BA6536">
        <w:rPr>
          <w:rFonts w:eastAsia="Times New Roman" w:cs="Times New Roman"/>
        </w:rPr>
        <w:t>Mono County Housing Authority.</w:t>
      </w:r>
    </w:p>
    <w:p w14:paraId="69B8F7A2" w14:textId="77777777" w:rsidR="00FE6673" w:rsidRPr="00BA6536" w:rsidRDefault="00FE6673" w:rsidP="00FE6673">
      <w:pPr>
        <w:tabs>
          <w:tab w:val="left" w:pos="1800"/>
        </w:tabs>
        <w:spacing w:after="0" w:line="280" w:lineRule="atLeast"/>
        <w:ind w:left="1800" w:hanging="1800"/>
        <w:jc w:val="both"/>
        <w:rPr>
          <w:rFonts w:eastAsia="Times New Roman" w:cs="Times New Roman"/>
        </w:rPr>
      </w:pPr>
      <w:r w:rsidRPr="00BA6536">
        <w:rPr>
          <w:rFonts w:eastAsia="Times New Roman" w:cs="Times New Roman"/>
        </w:rPr>
        <w:t>Timeframe: Begin implementation of at least one additional program by 2011 and a second program by 2013.</w:t>
      </w:r>
    </w:p>
    <w:p w14:paraId="7800F71C" w14:textId="77777777" w:rsidR="006D3635" w:rsidRPr="00BA6536" w:rsidRDefault="00FE6673" w:rsidP="006D3635">
      <w:pPr>
        <w:tabs>
          <w:tab w:val="left" w:pos="1260"/>
        </w:tabs>
        <w:spacing w:line="280" w:lineRule="atLeast"/>
        <w:ind w:left="1260"/>
        <w:jc w:val="both"/>
        <w:rPr>
          <w:rFonts w:ascii="Times New Roman" w:hAnsi="Times New Roman"/>
          <w:sz w:val="24"/>
          <w:szCs w:val="24"/>
        </w:rPr>
      </w:pPr>
      <w:r w:rsidRPr="00BA6536">
        <w:rPr>
          <w:rFonts w:eastAsia="Times New Roman" w:cs="Times New Roman"/>
          <w:b/>
        </w:rPr>
        <w:t xml:space="preserve">Progress:  </w:t>
      </w:r>
      <w:r w:rsidR="00C8362E" w:rsidRPr="00BA6536">
        <w:t>Mono County has been hosting quarterly meetings through the Mono County Collaborative Planning Team with land management agencies and the local land trust to share information and review potential land ownership adjustments, including those that may serve as community expansion areas for local housing.  Although the land trust is presently primarily focused on resource preservation, it has shown to be a willing player in broader land ownership adjustment issues.  The land ownership adjustment program is an ongoing tool for addressing the fact that 94% of Mono County’s territory is government land.</w:t>
      </w:r>
      <w:r w:rsidR="006D3635" w:rsidRPr="00BA6536">
        <w:t xml:space="preserve"> The CDD has developed a number of prescriptive designs for common building elements that often require expensive engineering, particularly in the high snow load areas of Mono County.  These prescriptive designs include energy efficiency items, such as an engineered design for roof-mounted solar panels.. The County also waived building permit fees for 18 months to encourage construction of local housing during recessionary times; and more recently waived building permit fees for energy upgrades, including solar, wind and geothermal residential systems. The County is in the process of initiating a residential PACE program for financing local housing energy upgrades, with the intent of reducing local housing operation costs.</w:t>
      </w:r>
    </w:p>
    <w:p w14:paraId="5814F7A3" w14:textId="77777777" w:rsidR="00FE6673" w:rsidRPr="00BA6536" w:rsidRDefault="00FE6673" w:rsidP="00D80D0C">
      <w:pPr>
        <w:tabs>
          <w:tab w:val="left" w:pos="1080"/>
          <w:tab w:val="left" w:pos="1260"/>
        </w:tabs>
        <w:spacing w:after="0" w:line="280" w:lineRule="atLeast"/>
        <w:ind w:left="1080" w:hanging="1080"/>
        <w:rPr>
          <w:rFonts w:eastAsia="Times New Roman" w:cs="Times New Roman"/>
          <w:b/>
        </w:rPr>
      </w:pPr>
    </w:p>
    <w:p w14:paraId="376D1BD4"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5B69C2" w:rsidRPr="00BA6536">
        <w:rPr>
          <w:rFonts w:eastAsia="Times New Roman" w:cs="Times New Roman"/>
        </w:rPr>
        <w:t xml:space="preserve">Successful, Ongoing. </w:t>
      </w:r>
    </w:p>
    <w:p w14:paraId="6FD17844" w14:textId="77777777" w:rsidR="00FE6673" w:rsidRPr="00BA6536" w:rsidRDefault="00FE6673" w:rsidP="00FE6673">
      <w:pPr>
        <w:spacing w:after="0" w:line="280" w:lineRule="atLeast"/>
        <w:ind w:left="1260" w:hanging="1260"/>
        <w:jc w:val="both"/>
        <w:rPr>
          <w:rFonts w:eastAsia="Times New Roman" w:cs="Times New Roman"/>
          <w:b/>
        </w:rPr>
      </w:pPr>
      <w:r w:rsidRPr="00BA6536">
        <w:rPr>
          <w:rFonts w:eastAsia="Times New Roman" w:cs="Times New Roman"/>
          <w:b/>
        </w:rPr>
        <w:t>Adjustments to Program:</w:t>
      </w:r>
      <w:r w:rsidR="005B69C2" w:rsidRPr="00BA6536">
        <w:rPr>
          <w:rFonts w:eastAsia="Times New Roman" w:cs="Times New Roman"/>
        </w:rPr>
        <w:t xml:space="preserve"> Program will continue. </w:t>
      </w:r>
    </w:p>
    <w:p w14:paraId="51FFCA41" w14:textId="77777777" w:rsidR="00FE6673" w:rsidRPr="00BA6536" w:rsidRDefault="00FE6673" w:rsidP="00FE6673">
      <w:pPr>
        <w:spacing w:after="0" w:line="280" w:lineRule="atLeast"/>
        <w:ind w:left="1260" w:hanging="1260"/>
        <w:jc w:val="both"/>
        <w:rPr>
          <w:rFonts w:eastAsia="Times New Roman" w:cs="Times New Roman"/>
        </w:rPr>
      </w:pPr>
      <w:r w:rsidRPr="00BA6536">
        <w:rPr>
          <w:rFonts w:ascii="Times New Roman" w:eastAsia="Times New Roman" w:hAnsi="Times New Roman" w:cs="Times New Roman"/>
          <w:noProof/>
          <w:sz w:val="24"/>
          <w:szCs w:val="20"/>
          <w:highlight w:val="yellow"/>
        </w:rPr>
        <mc:AlternateContent>
          <mc:Choice Requires="wps">
            <w:drawing>
              <wp:anchor distT="0" distB="0" distL="114300" distR="114300" simplePos="0" relativeHeight="251698176" behindDoc="0" locked="0" layoutInCell="1" allowOverlap="1" wp14:anchorId="7D114D30" wp14:editId="1BCB2B2B">
                <wp:simplePos x="0" y="0"/>
                <wp:positionH relativeFrom="column">
                  <wp:posOffset>0</wp:posOffset>
                </wp:positionH>
                <wp:positionV relativeFrom="paragraph">
                  <wp:posOffset>-635</wp:posOffset>
                </wp:positionV>
                <wp:extent cx="60198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07DD34A" id="Straight Connector 4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DvVXIh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5CFEFBB3"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 xml:space="preserve">Program 2:12 </w:t>
      </w:r>
      <w:r w:rsidR="00FE6673" w:rsidRPr="00BA6536">
        <w:rPr>
          <w:rFonts w:eastAsia="Times New Roman" w:cs="Times New Roman"/>
          <w:b/>
        </w:rPr>
        <w:tab/>
        <w:t>The County will meet with developers and encourage the development of housing for low- and moderate-income households. The County will maintain an inventory of suitable sites, conduct preapplication meetings to facilitate development, provide technical assistance, support appropriate funding applications and offer regulatory incentives and concessions to contribute to the feasibility of development of housing for lower-income households.  The inventory of suitable sites will utilize a variety of factors to determine site suitability, including current and projected population figures, economic conditions, transportation systems, the potential for rehabilitation, and the availability of utilities and infrastructure.</w:t>
      </w:r>
    </w:p>
    <w:p w14:paraId="3D0AE4EF" w14:textId="77777777"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w:t>
      </w:r>
    </w:p>
    <w:p w14:paraId="65FD75AB" w14:textId="77777777" w:rsidR="00FE6673" w:rsidRPr="00BA6536" w:rsidRDefault="00FE6673" w:rsidP="00FE6673">
      <w:pPr>
        <w:tabs>
          <w:tab w:val="left" w:pos="1800"/>
        </w:tabs>
        <w:spacing w:after="0" w:line="280" w:lineRule="atLeast"/>
        <w:ind w:left="1800" w:hanging="1800"/>
        <w:jc w:val="both"/>
        <w:rPr>
          <w:rFonts w:eastAsia="Times New Roman" w:cs="Times New Roman"/>
        </w:rPr>
      </w:pPr>
      <w:r w:rsidRPr="00BA6536">
        <w:rPr>
          <w:rFonts w:eastAsia="Times New Roman" w:cs="Times New Roman"/>
        </w:rPr>
        <w:t>Timeframe: Continue to encourage the development of low and moderate income housing over the time frame of this plan.</w:t>
      </w:r>
    </w:p>
    <w:p w14:paraId="479820F3" w14:textId="77777777" w:rsidR="00FE6673" w:rsidRPr="00BA6536" w:rsidRDefault="00FE6673" w:rsidP="006D3635">
      <w:pPr>
        <w:tabs>
          <w:tab w:val="left" w:pos="90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006D3635" w:rsidRPr="00BA6536">
        <w:t>The County continues to meet with prospective developers to encourage affordable local housing and offers free pre-application reviews. Inventories of sites have been conducted, including biological assessments to document the absence of critical habitat for sage grouse – a species proposed for listing as a threatened species under the ESA,  This inventory is critical to preserving the limited amount of private property in communities for housing development, and to avoid additional federal regulatory requirements. Regulatory concessions include the continued suspension of the inclusionary housing ordinance in recognition of the recessionary economy.  Infrastructure inventories are under way in concert with LAFCO as a part of the general plan update and update of Municipal Service Reviews and Spheres of Influence.</w:t>
      </w:r>
    </w:p>
    <w:p w14:paraId="3234DF79"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C3383E" w:rsidRPr="00BA6536">
        <w:rPr>
          <w:rFonts w:eastAsia="Times New Roman" w:cs="Times New Roman"/>
        </w:rPr>
        <w:t>Successful, Ongoing.</w:t>
      </w:r>
    </w:p>
    <w:p w14:paraId="316DEC97" w14:textId="77777777" w:rsidR="00FE6673" w:rsidRPr="00BA6536" w:rsidRDefault="00FE6673" w:rsidP="00FE6673">
      <w:pPr>
        <w:spacing w:after="0" w:line="280" w:lineRule="atLeast"/>
        <w:ind w:left="1260" w:hanging="1260"/>
        <w:jc w:val="both"/>
        <w:rPr>
          <w:rFonts w:eastAsia="Times New Roman" w:cs="Times New Roman"/>
          <w:b/>
        </w:rPr>
      </w:pPr>
      <w:r w:rsidRPr="00BA6536">
        <w:rPr>
          <w:rFonts w:eastAsia="Times New Roman" w:cs="Times New Roman"/>
          <w:b/>
        </w:rPr>
        <w:t>Adjustments to Program:</w:t>
      </w:r>
      <w:r w:rsidR="00C3383E" w:rsidRPr="00BA6536">
        <w:rPr>
          <w:rFonts w:eastAsia="Times New Roman" w:cs="Times New Roman"/>
          <w:b/>
        </w:rPr>
        <w:t xml:space="preserve"> </w:t>
      </w:r>
      <w:r w:rsidR="00C3383E" w:rsidRPr="00BA6536">
        <w:rPr>
          <w:rFonts w:eastAsia="Times New Roman" w:cs="Times New Roman"/>
        </w:rPr>
        <w:t>Program will continue.</w:t>
      </w:r>
    </w:p>
    <w:p w14:paraId="611A2935" w14:textId="77777777" w:rsidR="00FE6673" w:rsidRPr="00BA6536" w:rsidRDefault="00FE6673" w:rsidP="00FE6673">
      <w:pPr>
        <w:spacing w:after="0" w:line="280" w:lineRule="atLeast"/>
        <w:ind w:left="1260" w:hanging="1260"/>
        <w:jc w:val="both"/>
        <w:rPr>
          <w:rFonts w:ascii="Times New Roman" w:eastAsia="Times New Roman" w:hAnsi="Times New Roman" w:cs="Times New Roman"/>
          <w:sz w:val="24"/>
          <w:szCs w:val="20"/>
          <w:highlight w:val="yellow"/>
        </w:rPr>
      </w:pPr>
      <w:r w:rsidRPr="00BA6536">
        <w:rPr>
          <w:rFonts w:ascii="Times New Roman" w:eastAsia="Times New Roman" w:hAnsi="Times New Roman" w:cs="Times New Roman"/>
          <w:noProof/>
          <w:sz w:val="24"/>
          <w:szCs w:val="20"/>
          <w:highlight w:val="yellow"/>
        </w:rPr>
        <mc:AlternateContent>
          <mc:Choice Requires="wps">
            <w:drawing>
              <wp:anchor distT="0" distB="0" distL="114300" distR="114300" simplePos="0" relativeHeight="251699200" behindDoc="0" locked="0" layoutInCell="1" allowOverlap="1" wp14:anchorId="5C43C67E" wp14:editId="2F22C09E">
                <wp:simplePos x="0" y="0"/>
                <wp:positionH relativeFrom="column">
                  <wp:posOffset>0</wp:posOffset>
                </wp:positionH>
                <wp:positionV relativeFrom="paragraph">
                  <wp:posOffset>-635</wp:posOffset>
                </wp:positionV>
                <wp:extent cx="60198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E2673AE" id="Straight Connector 4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D5DHsK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43ABB39D"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 xml:space="preserve">Program 2:13 </w:t>
      </w:r>
      <w:r w:rsidR="00FE6673" w:rsidRPr="00BA6536">
        <w:rPr>
          <w:rFonts w:eastAsia="Times New Roman" w:cs="Times New Roman"/>
          <w:b/>
        </w:rPr>
        <w:tab/>
        <w:t>Through collaboration with a regional housing authority or similar entity (e.g. Mammoth Lakes Housing Inc), develop a range of housing programs that address the needs of Extremely Low-Income households in the area.  Identify the specific type(s) of development that would best serve the needs of this group in Mono County.  Review the county’s Housing Mitigation Ordinance and other development standards to ensure that they encourage the development of housing types that meet the needs of this income group.  Seek funding to develop ELI housing.</w:t>
      </w:r>
    </w:p>
    <w:p w14:paraId="2D167450" w14:textId="77777777"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Mono County Housing Authority.</w:t>
      </w:r>
    </w:p>
    <w:p w14:paraId="5178F894" w14:textId="77777777" w:rsidR="00FE6673" w:rsidRPr="00BA6536" w:rsidRDefault="00FE6673" w:rsidP="00FE6673">
      <w:pPr>
        <w:tabs>
          <w:tab w:val="left" w:pos="1260"/>
        </w:tabs>
        <w:spacing w:after="0" w:line="280" w:lineRule="atLeast"/>
        <w:ind w:left="1440" w:hanging="1440"/>
        <w:jc w:val="both"/>
        <w:rPr>
          <w:rFonts w:eastAsia="Times New Roman" w:cs="Times New Roman"/>
        </w:rPr>
      </w:pPr>
      <w:r w:rsidRPr="00BA6536">
        <w:rPr>
          <w:rFonts w:eastAsia="Times New Roman" w:cs="Times New Roman"/>
        </w:rPr>
        <w:t>Timeframe: Identify development types by 2010.  Review Housing Mitigation Ordinance and development standards by 2010.  Seek funding starting in 2011.</w:t>
      </w:r>
    </w:p>
    <w:p w14:paraId="28E5259A" w14:textId="77777777" w:rsidR="006D3635" w:rsidRPr="00BA6536" w:rsidRDefault="00FE6673" w:rsidP="006D3635">
      <w:pPr>
        <w:spacing w:line="280" w:lineRule="atLeast"/>
        <w:ind w:left="1260" w:hanging="1260"/>
        <w:jc w:val="both"/>
      </w:pPr>
      <w:r w:rsidRPr="00BA6536">
        <w:rPr>
          <w:rFonts w:eastAsia="Times New Roman" w:cs="Times New Roman"/>
          <w:b/>
        </w:rPr>
        <w:t xml:space="preserve">Progress:  </w:t>
      </w:r>
      <w:r w:rsidR="006D3635" w:rsidRPr="00BA6536">
        <w:t>The County is continuing collaborating with Mammoth Lakes Housing Inc in the administration of a first-time homebuyer loan program to meet the needs of extremely Low-Income households.  Although the housing mitigation ordinance is suspended, policies still promote construction of more affordable units for this income group.  As an example, the secondary housing requirements were amended last year to limit the size of secondary (or accessory) housing units with the intent of increasing their availability to this income sector.</w:t>
      </w:r>
    </w:p>
    <w:p w14:paraId="79E044A2"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C3383E" w:rsidRPr="00BA6536">
        <w:rPr>
          <w:rFonts w:eastAsia="Times New Roman" w:cs="Times New Roman"/>
        </w:rPr>
        <w:t>Successful, Ongoing.</w:t>
      </w:r>
    </w:p>
    <w:p w14:paraId="2BB5E3D4" w14:textId="77777777" w:rsidR="00FE6673" w:rsidRPr="00BA6536" w:rsidRDefault="00FE6673" w:rsidP="00FE6673">
      <w:pPr>
        <w:spacing w:after="0" w:line="280" w:lineRule="atLeast"/>
        <w:jc w:val="both"/>
        <w:rPr>
          <w:rFonts w:eastAsia="Times New Roman" w:cs="Times New Roman"/>
          <w:b/>
        </w:rPr>
      </w:pPr>
      <w:r w:rsidRPr="00BA6536">
        <w:rPr>
          <w:rFonts w:eastAsia="Times New Roman" w:cs="Times New Roman"/>
          <w:b/>
        </w:rPr>
        <w:t>Adjustments to Program:</w:t>
      </w:r>
      <w:r w:rsidR="00C3383E" w:rsidRPr="00BA6536">
        <w:rPr>
          <w:rFonts w:eastAsia="Times New Roman" w:cs="Times New Roman"/>
          <w:b/>
        </w:rPr>
        <w:t xml:space="preserve"> </w:t>
      </w:r>
      <w:r w:rsidR="00C3383E" w:rsidRPr="00BA6536">
        <w:rPr>
          <w:rFonts w:eastAsia="Times New Roman" w:cs="Times New Roman"/>
        </w:rPr>
        <w:t>Program will continue.</w:t>
      </w:r>
    </w:p>
    <w:p w14:paraId="7BF201EC" w14:textId="77777777" w:rsidR="00FE6673" w:rsidRPr="00BA6536" w:rsidRDefault="00FE6673" w:rsidP="00FE6673">
      <w:pPr>
        <w:spacing w:after="0" w:line="280" w:lineRule="atLeast"/>
        <w:jc w:val="both"/>
        <w:rPr>
          <w:rFonts w:ascii="Times New Roman" w:eastAsia="Times New Roman" w:hAnsi="Times New Roman" w:cs="Times New Roman"/>
          <w:sz w:val="24"/>
          <w:szCs w:val="20"/>
        </w:rPr>
      </w:pPr>
      <w:r w:rsidRPr="00BA6536">
        <w:rPr>
          <w:rFonts w:ascii="Times New Roman" w:eastAsia="Times New Roman" w:hAnsi="Times New Roman" w:cs="Times New Roman"/>
          <w:noProof/>
          <w:sz w:val="24"/>
          <w:szCs w:val="20"/>
        </w:rPr>
        <mc:AlternateContent>
          <mc:Choice Requires="wps">
            <w:drawing>
              <wp:anchor distT="0" distB="0" distL="114300" distR="114300" simplePos="0" relativeHeight="251700224" behindDoc="0" locked="0" layoutInCell="1" allowOverlap="1" wp14:anchorId="63443601" wp14:editId="4AD89E94">
                <wp:simplePos x="0" y="0"/>
                <wp:positionH relativeFrom="column">
                  <wp:posOffset>0</wp:posOffset>
                </wp:positionH>
                <wp:positionV relativeFrom="paragraph">
                  <wp:posOffset>0</wp:posOffset>
                </wp:positionV>
                <wp:extent cx="60198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6545005" id="Straight Connector 4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NMaspc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14:paraId="0E40A6A2" w14:textId="77777777" w:rsidR="00FE6673" w:rsidRPr="00BA6536" w:rsidRDefault="00D72B24" w:rsidP="00FE6673">
      <w:pPr>
        <w:spacing w:after="0" w:line="280" w:lineRule="atLeast"/>
        <w:ind w:left="1260" w:hanging="1260"/>
        <w:jc w:val="both"/>
        <w:rPr>
          <w:rFonts w:eastAsia="Times New Roman" w:cs="Times New Roman"/>
          <w:b/>
        </w:rPr>
      </w:pPr>
      <w:r>
        <w:rPr>
          <w:rFonts w:eastAsia="Times New Roman" w:cs="Times New Roman"/>
          <w:b/>
        </w:rPr>
        <w:t xml:space="preserve">Program 2:14 </w:t>
      </w:r>
      <w:r w:rsidR="00FE6673" w:rsidRPr="00BA6536">
        <w:rPr>
          <w:rFonts w:eastAsia="Times New Roman" w:cs="Times New Roman"/>
          <w:b/>
        </w:rPr>
        <w:tab/>
        <w:t>Review and revise the Housing Mitigation Requirements (Mono County Code, Chapter 15.40) to ensure that they remain effective and equitable in today’s housing market.</w:t>
      </w:r>
    </w:p>
    <w:p w14:paraId="61455DE8" w14:textId="77777777"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 xml:space="preserve">Responsible Agencies: </w:t>
      </w:r>
      <w:r w:rsidRPr="00BA6536">
        <w:rPr>
          <w:rFonts w:eastAsia="Times New Roman" w:cs="Times New Roman"/>
        </w:rPr>
        <w:tab/>
        <w:t>Community Development Department.</w:t>
      </w:r>
    </w:p>
    <w:p w14:paraId="3D306AF1" w14:textId="77777777" w:rsidR="00FE6673" w:rsidRPr="00BA6536" w:rsidRDefault="00FE6673" w:rsidP="00FE6673">
      <w:pPr>
        <w:tabs>
          <w:tab w:val="left" w:pos="1440"/>
        </w:tabs>
        <w:spacing w:after="0" w:line="280" w:lineRule="atLeast"/>
        <w:ind w:left="2520" w:hanging="2520"/>
        <w:jc w:val="both"/>
        <w:rPr>
          <w:rFonts w:eastAsia="Times New Roman" w:cs="Times New Roman"/>
        </w:rPr>
      </w:pPr>
      <w:r w:rsidRPr="00BA6536">
        <w:rPr>
          <w:rFonts w:eastAsia="Times New Roman" w:cs="Times New Roman"/>
        </w:rPr>
        <w:t>Timeframe: 2010.</w:t>
      </w:r>
    </w:p>
    <w:p w14:paraId="05837B58" w14:textId="77777777" w:rsidR="0076155B" w:rsidRPr="00BA6536" w:rsidRDefault="0076155B" w:rsidP="00FE6673">
      <w:pPr>
        <w:tabs>
          <w:tab w:val="left" w:pos="1440"/>
        </w:tabs>
        <w:spacing w:after="0" w:line="280" w:lineRule="atLeast"/>
        <w:ind w:left="2520" w:hanging="2520"/>
        <w:jc w:val="both"/>
        <w:rPr>
          <w:rFonts w:eastAsia="Times New Roman" w:cs="Times New Roman"/>
        </w:rPr>
      </w:pPr>
    </w:p>
    <w:p w14:paraId="201F7FA4"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Due to the housing market crash, the Board of Supervisors suspended the Housing Mitigation Ordinance, the ordinance is scheduled to be reviewed by the Housing Authority before being re-implemented, currently the re-implementation date is January 2015.</w:t>
      </w:r>
    </w:p>
    <w:p w14:paraId="7370718B" w14:textId="77777777" w:rsidR="00FE6673" w:rsidRPr="00BA6536" w:rsidRDefault="00FE6673" w:rsidP="00FE667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Ordinance suspended, ongoing. </w:t>
      </w:r>
    </w:p>
    <w:p w14:paraId="3BC0DFD3" w14:textId="77777777" w:rsidR="00FE6673" w:rsidRPr="00BA6536" w:rsidRDefault="00FE6673" w:rsidP="00FE6673">
      <w:pPr>
        <w:spacing w:after="0" w:line="280" w:lineRule="atLeast"/>
        <w:jc w:val="both"/>
        <w:rPr>
          <w:rFonts w:eastAsia="Times New Roman" w:cs="Times New Roman"/>
          <w:b/>
        </w:rPr>
      </w:pPr>
      <w:r w:rsidRPr="00BA6536">
        <w:rPr>
          <w:rFonts w:eastAsia="Times New Roman" w:cs="Times New Roman"/>
          <w:b/>
        </w:rPr>
        <w:t>Adjustments to Program:</w:t>
      </w:r>
      <w:r w:rsidRPr="00BA6536">
        <w:rPr>
          <w:rFonts w:eastAsia="Times New Roman" w:cs="Times New Roman"/>
        </w:rPr>
        <w:t xml:space="preserve"> Program will continue with adjustments to the ordinance likely.  </w:t>
      </w:r>
    </w:p>
    <w:p w14:paraId="71578514" w14:textId="77777777" w:rsidR="00FE6673" w:rsidRPr="00BA6536" w:rsidRDefault="00FE6673" w:rsidP="00B80A5B">
      <w:pPr>
        <w:spacing w:after="0" w:line="280" w:lineRule="atLeast"/>
        <w:jc w:val="both"/>
        <w:rPr>
          <w:rFonts w:eastAsia="Times New Roman" w:cs="ArialMT"/>
          <w:lang w:bidi="en-US"/>
        </w:rPr>
      </w:pPr>
    </w:p>
    <w:p w14:paraId="459951E4" w14:textId="77777777" w:rsidR="00FE6673" w:rsidRPr="00BA6536" w:rsidRDefault="002E1FEA" w:rsidP="003D5E81">
      <w:pPr>
        <w:pStyle w:val="Heading2"/>
        <w:rPr>
          <w:rFonts w:eastAsia="Times New Roman" w:cs="ArialMT"/>
          <w:color w:val="auto"/>
          <w:lang w:bidi="en-US"/>
        </w:rPr>
      </w:pPr>
      <w:bookmarkStart w:id="360" w:name="_Toc383700159"/>
      <w:r>
        <w:rPr>
          <w:rFonts w:eastAsia="Times New Roman" w:cs="ArialMT"/>
          <w:color w:val="auto"/>
          <w:lang w:bidi="en-US"/>
        </w:rPr>
        <w:t xml:space="preserve">C. </w:t>
      </w:r>
      <w:r w:rsidR="00DA0C24" w:rsidRPr="00BA6536">
        <w:rPr>
          <w:rFonts w:eastAsia="Times New Roman" w:cs="ArialMT"/>
          <w:color w:val="auto"/>
          <w:lang w:bidi="en-US"/>
        </w:rPr>
        <w:t>PROGRAMS TO ADDRESS GOVERNMENTAL CONSTRAINTS</w:t>
      </w:r>
      <w:bookmarkEnd w:id="360"/>
    </w:p>
    <w:p w14:paraId="25E77AF6" w14:textId="77777777" w:rsidR="00DA0C24" w:rsidRPr="00BA6536" w:rsidRDefault="00D72B24" w:rsidP="00DA0C24">
      <w:pPr>
        <w:spacing w:before="60" w:after="0" w:line="280" w:lineRule="atLeast"/>
        <w:ind w:left="1260" w:hanging="1260"/>
        <w:jc w:val="both"/>
        <w:rPr>
          <w:rFonts w:eastAsia="Times New Roman" w:cs="Times New Roman"/>
          <w:b/>
        </w:rPr>
      </w:pPr>
      <w:r>
        <w:rPr>
          <w:rFonts w:eastAsia="Times New Roman" w:cs="Times New Roman"/>
          <w:b/>
        </w:rPr>
        <w:t xml:space="preserve">Program 3:1 </w:t>
      </w:r>
      <w:r w:rsidR="00DA0C24" w:rsidRPr="00BA6536">
        <w:rPr>
          <w:rFonts w:eastAsia="Times New Roman" w:cs="Times New Roman"/>
          <w:b/>
        </w:rPr>
        <w:tab/>
        <w:t>Review and consider revising development standards to provide for greater regulatory flexibility that promotes resident housing development opportunities. Issues and standards to review include, but are not limited to:</w:t>
      </w:r>
    </w:p>
    <w:p w14:paraId="3C64EEC2" w14:textId="77777777" w:rsidR="00DA0C24" w:rsidRPr="00BA6536" w:rsidRDefault="00DA0C24" w:rsidP="00DA0C24">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parking requirements, particularly in June Lake and older central business districts;</w:t>
      </w:r>
    </w:p>
    <w:p w14:paraId="07285595" w14:textId="77777777" w:rsidR="00DA0C24" w:rsidRPr="00BA6536" w:rsidRDefault="00DA0C24" w:rsidP="00DA0C24">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snow storage requirements;</w:t>
      </w:r>
    </w:p>
    <w:p w14:paraId="3167E516" w14:textId="77777777" w:rsidR="00DA0C24" w:rsidRPr="00BA6536" w:rsidRDefault="00DA0C24" w:rsidP="00DA0C24">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allowing smaller minimum lot sizes where appropriate for affordability;</w:t>
      </w:r>
    </w:p>
    <w:p w14:paraId="79CC3A0E" w14:textId="77777777" w:rsidR="00DA0C24" w:rsidRPr="00BA6536" w:rsidRDefault="00DA0C24" w:rsidP="00DA0C24">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broader application of the County’s Manufactured Housing Subdivision provisions, which allows for lots as small as 4,000 square feet; and</w:t>
      </w:r>
    </w:p>
    <w:p w14:paraId="2ADC2CB7" w14:textId="77777777" w:rsidR="00DA0C24" w:rsidRPr="00BA6536" w:rsidRDefault="00DA0C24" w:rsidP="00DA0C24">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establishing performance criteria as a substitute for some existing inflexible regulations for residential development.</w:t>
      </w:r>
    </w:p>
    <w:p w14:paraId="5BAC253F" w14:textId="77777777" w:rsidR="00DA0C24" w:rsidRPr="00BA6536" w:rsidRDefault="00DA0C24" w:rsidP="00DA0C24">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Regional Planning Advisory Committees, Planning Commission.</w:t>
      </w:r>
    </w:p>
    <w:p w14:paraId="761DC7A3" w14:textId="77777777" w:rsidR="00DA0C24" w:rsidRPr="00BA6536" w:rsidRDefault="00DA0C24" w:rsidP="00DA0C24">
      <w:pPr>
        <w:tabs>
          <w:tab w:val="left" w:pos="1620"/>
        </w:tabs>
        <w:spacing w:after="0" w:line="280" w:lineRule="atLeast"/>
        <w:ind w:left="2340" w:hanging="2340"/>
        <w:rPr>
          <w:rFonts w:eastAsia="Times New Roman" w:cs="Times New Roman"/>
        </w:rPr>
      </w:pPr>
      <w:r w:rsidRPr="00BA6536">
        <w:rPr>
          <w:rFonts w:eastAsia="Times New Roman" w:cs="Times New Roman"/>
        </w:rPr>
        <w:t>Timeframe:  Review development standards biannually, starting in 2011.</w:t>
      </w:r>
    </w:p>
    <w:p w14:paraId="6F80ABAD" w14:textId="77777777" w:rsidR="00DA0C24" w:rsidRPr="00BA6536" w:rsidRDefault="00DA0C24" w:rsidP="00DA0C24">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Parking regulations have been reduced in central business districts, additional regulations have been consolidated and  are periodically reviewed for consistency and relevance.  The ability to provide a minor variance from development regulations with a Directors Review has been implemented.</w:t>
      </w:r>
      <w:r w:rsidRPr="00BA6536">
        <w:rPr>
          <w:rFonts w:eastAsia="Times New Roman" w:cs="Times New Roman"/>
          <w:b/>
        </w:rPr>
        <w:t xml:space="preserve">  </w:t>
      </w:r>
    </w:p>
    <w:p w14:paraId="3647089B" w14:textId="77777777" w:rsidR="00DA0C24" w:rsidRPr="00BA6536" w:rsidRDefault="00DA0C24" w:rsidP="00DA0C2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5E21E66B" w14:textId="77777777" w:rsidR="00DA0C24" w:rsidRPr="00BA6536" w:rsidRDefault="00DA0C24" w:rsidP="00DA0C24">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14:paraId="559174FB" w14:textId="77777777" w:rsidR="00DA0C24" w:rsidRPr="00BA6536" w:rsidRDefault="00DA0C24" w:rsidP="00DA0C24">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702272" behindDoc="0" locked="0" layoutInCell="1" allowOverlap="1" wp14:anchorId="734861EA" wp14:editId="3AE13928">
                <wp:simplePos x="0" y="0"/>
                <wp:positionH relativeFrom="column">
                  <wp:posOffset>0</wp:posOffset>
                </wp:positionH>
                <wp:positionV relativeFrom="paragraph">
                  <wp:posOffset>0</wp:posOffset>
                </wp:positionV>
                <wp:extent cx="60198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2E423BD" id="Straight Connector 4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" strokecolor="#5b9bd5" strokeweight=".5pt">
                <v:stroke joinstyle="miter"/>
              </v:line>
            </w:pict>
          </mc:Fallback>
        </mc:AlternateContent>
      </w:r>
    </w:p>
    <w:p w14:paraId="4841A06B" w14:textId="77777777" w:rsidR="00DA0C24" w:rsidRPr="00BA6536" w:rsidRDefault="00D72B24" w:rsidP="00DA0C24">
      <w:pPr>
        <w:spacing w:after="0" w:line="280" w:lineRule="atLeast"/>
        <w:ind w:left="1260" w:hanging="1260"/>
        <w:jc w:val="both"/>
        <w:rPr>
          <w:rFonts w:eastAsia="Times New Roman" w:cs="Times New Roman"/>
          <w:b/>
        </w:rPr>
      </w:pPr>
      <w:r>
        <w:rPr>
          <w:rFonts w:eastAsia="Times New Roman" w:cs="Times New Roman"/>
          <w:b/>
        </w:rPr>
        <w:t xml:space="preserve">Program 3:2 </w:t>
      </w:r>
      <w:r w:rsidR="00DA0C24" w:rsidRPr="00BA6536">
        <w:rPr>
          <w:rFonts w:eastAsia="Times New Roman" w:cs="Times New Roman"/>
          <w:b/>
        </w:rPr>
        <w:tab/>
        <w:t xml:space="preserve">Consider revising the Land Development Regulations to clarify the use of manufactured housing, including requirements in non-residential land use designations, minimum standards for farm labor housing use, and the ability to propose manufactured housing subdivisions within additional land use designations. </w:t>
      </w:r>
    </w:p>
    <w:p w14:paraId="18B3FD8B" w14:textId="77777777" w:rsidR="00DA0C24" w:rsidRPr="00BA6536" w:rsidRDefault="00DA0C24" w:rsidP="00DA0C24">
      <w:pPr>
        <w:tabs>
          <w:tab w:val="left" w:pos="3060"/>
        </w:tabs>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Regional Planning Advisory Committees, Planning Commission.</w:t>
      </w:r>
    </w:p>
    <w:p w14:paraId="4C127AB6" w14:textId="77777777" w:rsidR="00DA0C24" w:rsidRPr="00BA6536" w:rsidRDefault="00DA0C24" w:rsidP="00DA0C24">
      <w:pPr>
        <w:tabs>
          <w:tab w:val="left" w:pos="1620"/>
          <w:tab w:val="left" w:pos="3060"/>
        </w:tabs>
        <w:spacing w:after="0" w:line="280" w:lineRule="atLeast"/>
        <w:ind w:left="2340" w:hanging="2340"/>
        <w:rPr>
          <w:rFonts w:eastAsia="Times New Roman" w:cs="Times New Roman"/>
        </w:rPr>
      </w:pPr>
      <w:r w:rsidRPr="00BA6536">
        <w:rPr>
          <w:rFonts w:eastAsia="Times New Roman" w:cs="Times New Roman"/>
        </w:rPr>
        <w:t>Timeframe:  2011/12.</w:t>
      </w:r>
    </w:p>
    <w:p w14:paraId="7BFA8150" w14:textId="77777777" w:rsidR="00DA0C24" w:rsidRPr="00BA6536" w:rsidRDefault="00DA0C24" w:rsidP="00DA0C24">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Subdivision ordinance remains under review.</w:t>
      </w:r>
    </w:p>
    <w:p w14:paraId="543FDB2A" w14:textId="77777777" w:rsidR="00DA0C24" w:rsidRPr="00BA6536" w:rsidRDefault="00DA0C24" w:rsidP="00DA0C2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30C7B2E6" w14:textId="77777777" w:rsidR="00DA0C24" w:rsidRPr="00BA6536" w:rsidRDefault="00DA0C24" w:rsidP="00DA0C24">
      <w:pPr>
        <w:tabs>
          <w:tab w:val="left" w:pos="1620"/>
        </w:tabs>
        <w:spacing w:after="0" w:line="280" w:lineRule="atLeast"/>
        <w:ind w:left="2340" w:hanging="2340"/>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14:paraId="7826F6D2" w14:textId="77777777" w:rsidR="00DA0C24" w:rsidRPr="00BA6536" w:rsidRDefault="00DA0C24" w:rsidP="00DA0C24">
      <w:pPr>
        <w:tabs>
          <w:tab w:val="left" w:pos="1620"/>
        </w:tabs>
        <w:spacing w:after="0" w:line="280" w:lineRule="atLeast"/>
        <w:ind w:left="2340" w:hanging="2340"/>
        <w:rPr>
          <w:rFonts w:eastAsia="Times New Roman" w:cs="Times New Roman"/>
          <w:b/>
        </w:rPr>
      </w:pPr>
      <w:r w:rsidRPr="00BA6536">
        <w:rPr>
          <w:rFonts w:eastAsia="Times New Roman" w:cs="Times New Roman"/>
          <w:noProof/>
        </w:rPr>
        <mc:AlternateContent>
          <mc:Choice Requires="wps">
            <w:drawing>
              <wp:anchor distT="0" distB="0" distL="114300" distR="114300" simplePos="0" relativeHeight="251703296" behindDoc="0" locked="0" layoutInCell="1" allowOverlap="1" wp14:anchorId="6D5A83C7" wp14:editId="447E57BD">
                <wp:simplePos x="0" y="0"/>
                <wp:positionH relativeFrom="column">
                  <wp:posOffset>0</wp:posOffset>
                </wp:positionH>
                <wp:positionV relativeFrom="paragraph">
                  <wp:posOffset>0</wp:posOffset>
                </wp:positionV>
                <wp:extent cx="60198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F98EA4F" id="Straight Connector 4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Di232M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14:paraId="09D7CB41" w14:textId="77777777" w:rsidR="00DA0C24" w:rsidRPr="00BA6536" w:rsidRDefault="00D72B24" w:rsidP="00DA0C24">
      <w:pPr>
        <w:spacing w:after="0" w:line="280" w:lineRule="atLeast"/>
        <w:ind w:left="1260" w:hanging="1260"/>
        <w:jc w:val="both"/>
        <w:rPr>
          <w:rFonts w:eastAsia="Times New Roman" w:cs="Times New Roman"/>
          <w:b/>
        </w:rPr>
      </w:pPr>
      <w:r>
        <w:rPr>
          <w:rFonts w:eastAsia="Times New Roman" w:cs="Times New Roman"/>
          <w:b/>
        </w:rPr>
        <w:t xml:space="preserve">Program 3:3 </w:t>
      </w:r>
      <w:r w:rsidR="00DA0C24" w:rsidRPr="00BA6536">
        <w:rPr>
          <w:rFonts w:eastAsia="Times New Roman" w:cs="Times New Roman"/>
          <w:b/>
        </w:rPr>
        <w:tab/>
        <w:t>Conduct preapplication conferences with project proponents to assist them in understanding permit procedures and to resolve potential application difficulties early in the review process.</w:t>
      </w:r>
    </w:p>
    <w:p w14:paraId="369D44EC" w14:textId="77777777" w:rsidR="00DA0C24" w:rsidRPr="00BA6536" w:rsidRDefault="00DA0C24" w:rsidP="00DA0C24">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Land Development Technical Advisory Committee (LDTAC) = Planning Division, Building Division, Public Works Department, Environmental Health, and Compliance Division.</w:t>
      </w:r>
    </w:p>
    <w:p w14:paraId="4A69D013" w14:textId="77777777" w:rsidR="00DA0C24" w:rsidRPr="00BA6536" w:rsidRDefault="00DA0C24" w:rsidP="00DA0C24">
      <w:pPr>
        <w:spacing w:after="0" w:line="280" w:lineRule="atLeast"/>
        <w:ind w:left="2340" w:hanging="2340"/>
        <w:jc w:val="both"/>
        <w:rPr>
          <w:rFonts w:eastAsia="Times New Roman" w:cs="Times New Roman"/>
        </w:rPr>
      </w:pPr>
      <w:r w:rsidRPr="00BA6536">
        <w:rPr>
          <w:rFonts w:eastAsia="Times New Roman" w:cs="Times New Roman"/>
        </w:rPr>
        <w:t>Timeframe:  Ongoing, 2007-2014.</w:t>
      </w:r>
    </w:p>
    <w:p w14:paraId="58604789" w14:textId="77777777" w:rsidR="00DA0C24" w:rsidRPr="00BA6536" w:rsidRDefault="00DA0C24" w:rsidP="00DA0C24">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All development projects are required to go through a pre-application process, the process is also open to complex ministerial projects.</w:t>
      </w:r>
      <w:r w:rsidRPr="00BA6536">
        <w:rPr>
          <w:rFonts w:eastAsia="Times New Roman" w:cs="Times New Roman"/>
          <w:b/>
        </w:rPr>
        <w:t xml:space="preserve"> </w:t>
      </w:r>
    </w:p>
    <w:p w14:paraId="00A53C6C" w14:textId="77777777" w:rsidR="00DA0C24" w:rsidRPr="00BA6536" w:rsidRDefault="00DA0C24" w:rsidP="00DA0C2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5E0BB30E" w14:textId="77777777" w:rsidR="00DA0C24" w:rsidRPr="00BA6536" w:rsidRDefault="00DA0C24" w:rsidP="00DA0C24">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14:paraId="01E1064B" w14:textId="77777777" w:rsidR="00DA0C24" w:rsidRPr="00BA6536" w:rsidRDefault="00DA0C24" w:rsidP="00DA0C24">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704320" behindDoc="0" locked="0" layoutInCell="1" allowOverlap="1" wp14:anchorId="3DF8BD9C" wp14:editId="0A8EDC3F">
                <wp:simplePos x="0" y="0"/>
                <wp:positionH relativeFrom="column">
                  <wp:posOffset>0</wp:posOffset>
                </wp:positionH>
                <wp:positionV relativeFrom="paragraph">
                  <wp:posOffset>0</wp:posOffset>
                </wp:positionV>
                <wp:extent cx="601980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BB91544" id="Straight Connector 4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w+dgd8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14:paraId="30BB20E5" w14:textId="77777777" w:rsidR="00DA0C24" w:rsidRPr="00BA6536" w:rsidRDefault="00D72B24" w:rsidP="00DA0C24">
      <w:pPr>
        <w:spacing w:after="0" w:line="280" w:lineRule="atLeast"/>
        <w:ind w:left="1260" w:hanging="1260"/>
        <w:jc w:val="both"/>
        <w:rPr>
          <w:rFonts w:eastAsia="Times New Roman" w:cs="Times New Roman"/>
          <w:b/>
        </w:rPr>
      </w:pPr>
      <w:r>
        <w:rPr>
          <w:rFonts w:eastAsia="Times New Roman" w:cs="Times New Roman"/>
          <w:b/>
        </w:rPr>
        <w:t xml:space="preserve">Program 3:4 </w:t>
      </w:r>
      <w:r w:rsidR="00DA0C24" w:rsidRPr="00BA6536">
        <w:rPr>
          <w:rFonts w:eastAsia="Times New Roman" w:cs="Times New Roman"/>
          <w:b/>
        </w:rPr>
        <w:tab/>
        <w:t>Review permit-processing procedures to ensure streamlining of the permit process. Review and revise application packets, as needed, to ensure that they are comprehensive, clear and easy to use.</w:t>
      </w:r>
    </w:p>
    <w:p w14:paraId="15E9CD22" w14:textId="77777777" w:rsidR="00DA0C24" w:rsidRPr="00BA6536" w:rsidRDefault="00DA0C24" w:rsidP="00DA0C24">
      <w:pPr>
        <w:spacing w:after="0" w:line="280" w:lineRule="atLeast"/>
        <w:jc w:val="both"/>
        <w:rPr>
          <w:rFonts w:eastAsia="Times New Roman" w:cs="Times New Roman"/>
        </w:rPr>
      </w:pPr>
      <w:r w:rsidRPr="00BA6536">
        <w:rPr>
          <w:rFonts w:eastAsia="Times New Roman" w:cs="Times New Roman"/>
        </w:rPr>
        <w:t>Responsible Agencies:  Community Development Department.</w:t>
      </w:r>
    </w:p>
    <w:p w14:paraId="456F56F6" w14:textId="77777777" w:rsidR="00DA0C24" w:rsidRPr="00BA6536" w:rsidRDefault="00DA0C24" w:rsidP="00DA0C24">
      <w:pPr>
        <w:tabs>
          <w:tab w:val="left" w:pos="1620"/>
        </w:tabs>
        <w:spacing w:after="0" w:line="280" w:lineRule="atLeast"/>
        <w:ind w:left="1170" w:hanging="1170"/>
        <w:rPr>
          <w:rFonts w:eastAsia="Times New Roman" w:cs="Times New Roman"/>
        </w:rPr>
      </w:pPr>
      <w:r w:rsidRPr="00BA6536">
        <w:rPr>
          <w:rFonts w:eastAsia="Times New Roman" w:cs="Times New Roman"/>
        </w:rPr>
        <w:t>Timeframe: Review permit processing procedures and application materials biannually starting in 2011.s</w:t>
      </w:r>
    </w:p>
    <w:p w14:paraId="5B67EB64" w14:textId="77777777" w:rsidR="00DA0C24" w:rsidRPr="00BA6536" w:rsidRDefault="00DA0C24" w:rsidP="00DA0C24">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building permit application and process has been significantly streamlined, all permits are managed using an internet based permitting software, electronic submittals are accepted.</w:t>
      </w:r>
      <w:r w:rsidRPr="00BA6536">
        <w:rPr>
          <w:rFonts w:eastAsia="Times New Roman" w:cs="Times New Roman"/>
          <w:b/>
        </w:rPr>
        <w:t xml:space="preserve"> </w:t>
      </w:r>
    </w:p>
    <w:p w14:paraId="3CBE34DE" w14:textId="77777777" w:rsidR="00DA0C24" w:rsidRPr="00BA6536" w:rsidRDefault="00DA0C24" w:rsidP="00DA0C2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67FF04CF" w14:textId="77777777" w:rsidR="00DA0C24" w:rsidRPr="00BA6536" w:rsidRDefault="00DA0C24" w:rsidP="00DA0C24">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Process are continuously reviewed and revised.</w:t>
      </w:r>
      <w:r w:rsidRPr="00BA6536">
        <w:rPr>
          <w:rFonts w:eastAsia="Times New Roman" w:cs="Times New Roman"/>
          <w:b/>
        </w:rPr>
        <w:t xml:space="preserve"> </w:t>
      </w:r>
    </w:p>
    <w:p w14:paraId="3D686313" w14:textId="77777777" w:rsidR="00DA0C24" w:rsidRPr="00BA6536" w:rsidRDefault="00DA0C24" w:rsidP="00DA0C24">
      <w:pPr>
        <w:spacing w:after="0" w:line="280" w:lineRule="atLeast"/>
        <w:ind w:left="1080" w:hanging="1080"/>
        <w:jc w:val="both"/>
        <w:rPr>
          <w:rFonts w:eastAsia="Times New Roman" w:cs="Times New Roman"/>
          <w:strike/>
        </w:rPr>
      </w:pPr>
      <w:r w:rsidRPr="00BA6536">
        <w:rPr>
          <w:rFonts w:eastAsia="Times New Roman" w:cs="Times New Roman"/>
          <w:noProof/>
        </w:rPr>
        <mc:AlternateContent>
          <mc:Choice Requires="wps">
            <w:drawing>
              <wp:anchor distT="0" distB="0" distL="114300" distR="114300" simplePos="0" relativeHeight="251705344" behindDoc="0" locked="0" layoutInCell="1" allowOverlap="1" wp14:anchorId="25A416CF" wp14:editId="230BC656">
                <wp:simplePos x="0" y="0"/>
                <wp:positionH relativeFrom="column">
                  <wp:posOffset>0</wp:posOffset>
                </wp:positionH>
                <wp:positionV relativeFrom="paragraph">
                  <wp:posOffset>0</wp:posOffset>
                </wp:positionV>
                <wp:extent cx="601980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7733DFB" id="Straight Connector 4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jdpM8M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14:paraId="68AD9CA0" w14:textId="77777777" w:rsidR="00DA0C24" w:rsidRPr="00BA6536" w:rsidRDefault="00D72B24" w:rsidP="00DA0C24">
      <w:pPr>
        <w:spacing w:after="0" w:line="280" w:lineRule="atLeast"/>
        <w:ind w:left="1260" w:hanging="1260"/>
        <w:jc w:val="both"/>
        <w:rPr>
          <w:rFonts w:eastAsia="Times New Roman" w:cs="Times New Roman"/>
          <w:b/>
        </w:rPr>
      </w:pPr>
      <w:r>
        <w:rPr>
          <w:rFonts w:eastAsia="Times New Roman" w:cs="Times New Roman"/>
          <w:b/>
        </w:rPr>
        <w:t xml:space="preserve">Program 3:5 </w:t>
      </w:r>
      <w:r w:rsidR="00DA0C24" w:rsidRPr="00BA6536">
        <w:rPr>
          <w:rFonts w:eastAsia="Times New Roman" w:cs="Times New Roman"/>
          <w:b/>
        </w:rPr>
        <w:tab/>
        <w:t>Amend the Land Development Regulations to provide a procedure for handling requests for reasonable accommodations made pursuant to state and federal fair housing laws.</w:t>
      </w:r>
    </w:p>
    <w:p w14:paraId="675EA653" w14:textId="77777777" w:rsidR="00DA0C24" w:rsidRPr="00BA6536" w:rsidRDefault="00DA0C24" w:rsidP="00DA0C24">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w:t>
      </w:r>
    </w:p>
    <w:p w14:paraId="351FB630" w14:textId="77777777" w:rsidR="00DA0C24" w:rsidRPr="00BA6536" w:rsidRDefault="00DA0C24" w:rsidP="00DA0C24">
      <w:pPr>
        <w:tabs>
          <w:tab w:val="left" w:pos="1620"/>
        </w:tabs>
        <w:spacing w:after="0" w:line="280" w:lineRule="atLeast"/>
        <w:ind w:left="2340" w:hanging="2340"/>
        <w:rPr>
          <w:rFonts w:eastAsia="Times New Roman" w:cs="Times New Roman"/>
        </w:rPr>
      </w:pPr>
      <w:r w:rsidRPr="00BA6536">
        <w:rPr>
          <w:rFonts w:eastAsia="Times New Roman" w:cs="Times New Roman"/>
        </w:rPr>
        <w:t>Timeframe: 2010.</w:t>
      </w:r>
    </w:p>
    <w:p w14:paraId="1C9D28D4" w14:textId="77777777" w:rsidR="00DA0C24" w:rsidRPr="00BA6536" w:rsidRDefault="00DA0C24" w:rsidP="00DA0C24">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Due to the extremely low number of applications involving requests for reasonable accommodations pursuant to fair housing laws, the county has not amended the Land Development Regulations. Normal permitting procedures have proven </w:t>
      </w:r>
      <w:r w:rsidR="00F309A3" w:rsidRPr="00BA6536">
        <w:rPr>
          <w:rFonts w:eastAsia="Times New Roman" w:cs="Times New Roman"/>
        </w:rPr>
        <w:t xml:space="preserve">successful to meet all requests.  </w:t>
      </w:r>
    </w:p>
    <w:p w14:paraId="54341B3D" w14:textId="77777777" w:rsidR="00DA0C24" w:rsidRPr="00BA6536" w:rsidRDefault="00DA0C24" w:rsidP="00DA0C2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6E05E546" w14:textId="77777777" w:rsidR="00DA0C24" w:rsidRPr="00BA6536" w:rsidRDefault="00DA0C24" w:rsidP="00DA0C24">
      <w:pPr>
        <w:widowControl w:val="0"/>
        <w:autoSpaceDE w:val="0"/>
        <w:autoSpaceDN w:val="0"/>
        <w:adjustRightInd w:val="0"/>
        <w:spacing w:after="0" w:line="280" w:lineRule="atLeast"/>
        <w:ind w:left="1080" w:hanging="1080"/>
        <w:jc w:val="both"/>
        <w:rPr>
          <w:rFonts w:eastAsia="Times New Roman" w:cs="ArialNarrow"/>
          <w:lang w:bidi="en-US"/>
        </w:rPr>
      </w:pPr>
      <w:r w:rsidRPr="00BA6536">
        <w:rPr>
          <w:rFonts w:eastAsia="Times New Roman" w:cs="Times New Roman"/>
          <w:b/>
        </w:rPr>
        <w:t xml:space="preserve">Adjustments to Program: </w:t>
      </w:r>
      <w:r w:rsidR="00F309A3" w:rsidRPr="00BA6536">
        <w:rPr>
          <w:rFonts w:eastAsia="Times New Roman" w:cs="Times New Roman"/>
        </w:rPr>
        <w:t xml:space="preserve">As part of the comprehensive General Plan Update, an ordinance based upon the “Model Ordinance for Providing Reasonable Accommodation Under Federal and State Fair Housing Laws” will be adopted. </w:t>
      </w:r>
    </w:p>
    <w:p w14:paraId="7339A0C4" w14:textId="77777777" w:rsidR="00A34B63" w:rsidRPr="00BA6536" w:rsidRDefault="00A34B63" w:rsidP="00B80A5B">
      <w:pPr>
        <w:spacing w:after="0" w:line="280" w:lineRule="atLeast"/>
        <w:jc w:val="both"/>
        <w:rPr>
          <w:rFonts w:eastAsia="Times New Roman" w:cs="ArialMT"/>
          <w:lang w:bidi="en-US"/>
        </w:rPr>
      </w:pPr>
    </w:p>
    <w:p w14:paraId="04D9869A" w14:textId="77777777" w:rsidR="00DA0C24" w:rsidRPr="00BA6536" w:rsidRDefault="002E1FEA" w:rsidP="003D5E81">
      <w:pPr>
        <w:pStyle w:val="Heading2"/>
        <w:rPr>
          <w:rFonts w:eastAsia="Times New Roman" w:cs="ArialMT"/>
          <w:color w:val="auto"/>
          <w:lang w:bidi="en-US"/>
        </w:rPr>
      </w:pPr>
      <w:bookmarkStart w:id="361" w:name="_Toc383700160"/>
      <w:r>
        <w:rPr>
          <w:rFonts w:eastAsia="Times New Roman" w:cs="ArialMT"/>
          <w:color w:val="auto"/>
          <w:lang w:bidi="en-US"/>
        </w:rPr>
        <w:t xml:space="preserve">D. </w:t>
      </w:r>
      <w:r w:rsidR="00A34B63" w:rsidRPr="00BA6536">
        <w:rPr>
          <w:rFonts w:eastAsia="Times New Roman" w:cs="ArialMT"/>
          <w:color w:val="auto"/>
          <w:lang w:bidi="en-US"/>
        </w:rPr>
        <w:t>CONSERVATION AND REHABILITATION</w:t>
      </w:r>
      <w:bookmarkEnd w:id="361"/>
    </w:p>
    <w:p w14:paraId="280D7E1D" w14:textId="77777777" w:rsidR="00A34B63" w:rsidRPr="00BA6536" w:rsidRDefault="00A34B63" w:rsidP="00B80A5B">
      <w:pPr>
        <w:spacing w:after="0" w:line="280" w:lineRule="atLeast"/>
        <w:jc w:val="both"/>
        <w:rPr>
          <w:rFonts w:eastAsia="Times New Roman" w:cs="ArialMT"/>
          <w:lang w:bidi="en-US"/>
        </w:rPr>
      </w:pPr>
    </w:p>
    <w:p w14:paraId="28ABF2E8"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4:1</w:t>
      </w:r>
      <w:r w:rsidR="00A34B63" w:rsidRPr="00BA6536">
        <w:rPr>
          <w:rFonts w:eastAsia="Times New Roman" w:cs="Times New Roman"/>
          <w:b/>
        </w:rPr>
        <w:tab/>
        <w:t>Continue to implement General Plan policies concerning the use of alternative energy sources (active and passive solar, etc.) in the development, rehabilitation, and replacement of housing units, including enforcement of Title 24 of the California Energy Commission Regulations</w:t>
      </w:r>
      <w:r w:rsidR="00A34B63" w:rsidRPr="00BA6536">
        <w:rPr>
          <w:rFonts w:eastAsia="Times New Roman" w:cs="Times New Roman"/>
          <w:b/>
          <w:i/>
        </w:rPr>
        <w:t>.</w:t>
      </w:r>
      <w:r w:rsidR="00A34B63" w:rsidRPr="00BA6536">
        <w:rPr>
          <w:rFonts w:eastAsia="Times New Roman" w:cs="Times New Roman"/>
          <w:b/>
        </w:rPr>
        <w:t xml:space="preserve"> </w:t>
      </w:r>
    </w:p>
    <w:p w14:paraId="679275FC"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Department/Building Division.</w:t>
      </w:r>
    </w:p>
    <w:p w14:paraId="78C53E3A"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Ongoing, 2007-2014.</w:t>
      </w:r>
    </w:p>
    <w:p w14:paraId="41F136AC"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Title 24 is strictly enforced by the building division for all remodel and rehabilitation projects.  Solar projects are incentivized though a streamlined permitting process. </w:t>
      </w:r>
      <w:r w:rsidRPr="00BA6536">
        <w:rPr>
          <w:rFonts w:eastAsia="Times New Roman" w:cs="Times New Roman"/>
          <w:b/>
        </w:rPr>
        <w:t xml:space="preserve">  </w:t>
      </w:r>
    </w:p>
    <w:p w14:paraId="5DCB4B36"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5B113194" w14:textId="77777777" w:rsidR="00A34B63" w:rsidRPr="00BA6536" w:rsidRDefault="00A34B63" w:rsidP="00A34B63">
      <w:pPr>
        <w:spacing w:after="0" w:line="280" w:lineRule="atLeast"/>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14:paraId="3DA7E83C" w14:textId="77777777" w:rsidR="00A34B63" w:rsidRPr="00BA6536" w:rsidRDefault="00A34B63" w:rsidP="00A34B63">
      <w:pPr>
        <w:spacing w:after="0" w:line="280" w:lineRule="atLeast"/>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707392" behindDoc="0" locked="0" layoutInCell="1" allowOverlap="1" wp14:anchorId="15C4A17E" wp14:editId="337426DB">
                <wp:simplePos x="0" y="0"/>
                <wp:positionH relativeFrom="column">
                  <wp:posOffset>0</wp:posOffset>
                </wp:positionH>
                <wp:positionV relativeFrom="paragraph">
                  <wp:posOffset>-635</wp:posOffset>
                </wp:positionV>
                <wp:extent cx="60198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36608C8" id="Straight Connector 5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OX232v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6D852E18"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4:2</w:t>
      </w:r>
      <w:r w:rsidR="00A34B63" w:rsidRPr="00BA6536">
        <w:rPr>
          <w:rFonts w:eastAsia="Times New Roman" w:cs="Times New Roman"/>
          <w:b/>
        </w:rPr>
        <w:tab/>
        <w:t>Support the continuation of home weatherization programs offered by state agencies, utility companies and other groups.</w:t>
      </w:r>
    </w:p>
    <w:p w14:paraId="294648EE"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 in cooperation with local social service agencies, utilities, and the High Sierra Energy Foundation.</w:t>
      </w:r>
    </w:p>
    <w:p w14:paraId="08688FD5"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Provide links on website by 2010; update annually.</w:t>
      </w:r>
    </w:p>
    <w:p w14:paraId="2E6288CA"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building division holds several public workshops each year regarding energy efficiency upgrades, including outreach to local contractors regarding state program requirements.</w:t>
      </w:r>
      <w:r w:rsidRPr="00BA6536">
        <w:rPr>
          <w:rFonts w:eastAsia="Times New Roman" w:cs="Times New Roman"/>
          <w:b/>
        </w:rPr>
        <w:t xml:space="preserve"> </w:t>
      </w:r>
    </w:p>
    <w:p w14:paraId="15267FE2"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0104B40F" w14:textId="77777777" w:rsidR="00A34B63" w:rsidRPr="00BA6536" w:rsidRDefault="00A34B63" w:rsidP="00A34B6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2C7C4458" w14:textId="77777777" w:rsidR="00A34B63" w:rsidRPr="00BA6536" w:rsidRDefault="00A34B63" w:rsidP="00A34B63">
      <w:pPr>
        <w:spacing w:after="0" w:line="280" w:lineRule="atLeast"/>
        <w:ind w:left="1080" w:hanging="1080"/>
        <w:jc w:val="both"/>
        <w:rPr>
          <w:rFonts w:eastAsia="Times New Roman" w:cs="Times New Roman"/>
        </w:rPr>
      </w:pPr>
      <w:r w:rsidRPr="00BA6536">
        <w:rPr>
          <w:rFonts w:eastAsia="Times New Roman" w:cs="Times New Roman"/>
          <w:noProof/>
          <w:highlight w:val="yellow"/>
        </w:rPr>
        <mc:AlternateContent>
          <mc:Choice Requires="wps">
            <w:drawing>
              <wp:anchor distT="0" distB="0" distL="114300" distR="114300" simplePos="0" relativeHeight="251708416" behindDoc="0" locked="0" layoutInCell="1" allowOverlap="1" wp14:anchorId="0A036F5C" wp14:editId="40D3E10E">
                <wp:simplePos x="0" y="0"/>
                <wp:positionH relativeFrom="column">
                  <wp:posOffset>0</wp:posOffset>
                </wp:positionH>
                <wp:positionV relativeFrom="paragraph">
                  <wp:posOffset>-635</wp:posOffset>
                </wp:positionV>
                <wp:extent cx="60198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0E43C5B" id="Straight Connector 5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AoPAjE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3656B3D8"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 xml:space="preserve">Program 4:3 </w:t>
      </w:r>
      <w:r w:rsidR="00A34B63" w:rsidRPr="00BA6536">
        <w:rPr>
          <w:rFonts w:eastAsia="Times New Roman" w:cs="Times New Roman"/>
          <w:b/>
        </w:rPr>
        <w:t>Make information available to homeowners and renters regarding weatherization and other programs that may assist in maintaining the affordability of housing units.</w:t>
      </w:r>
    </w:p>
    <w:p w14:paraId="373E3C93"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14:paraId="69A6A020"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Provide links on website by 2010; update annually.</w:t>
      </w:r>
    </w:p>
    <w:p w14:paraId="3859EBD4" w14:textId="77777777" w:rsidR="00A34B63" w:rsidRPr="00BA6536" w:rsidRDefault="00A34B63" w:rsidP="00A34B63">
      <w:pPr>
        <w:tabs>
          <w:tab w:val="left" w:pos="1080"/>
          <w:tab w:val="left" w:pos="1260"/>
        </w:tabs>
        <w:spacing w:after="0" w:line="280" w:lineRule="atLeast"/>
        <w:ind w:left="990" w:hanging="990"/>
        <w:rPr>
          <w:rFonts w:eastAsia="Times New Roman" w:cs="Times New Roman"/>
          <w:b/>
        </w:rPr>
      </w:pPr>
      <w:r w:rsidRPr="00BA6536">
        <w:rPr>
          <w:rFonts w:eastAsia="Times New Roman" w:cs="Times New Roman"/>
          <w:b/>
        </w:rPr>
        <w:t xml:space="preserve">Progress: </w:t>
      </w:r>
      <w:r w:rsidRPr="00BA6536">
        <w:rPr>
          <w:rFonts w:eastAsia="Times New Roman" w:cs="Times New Roman"/>
        </w:rPr>
        <w:t>Information is provided at the permit center counter and at public workshops held by the building division.</w:t>
      </w:r>
    </w:p>
    <w:p w14:paraId="6CB8F5AF"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0EB63A55" w14:textId="77777777" w:rsidR="00A34B63" w:rsidRPr="00BA6536" w:rsidRDefault="00A34B63" w:rsidP="00A34B63">
      <w:pPr>
        <w:spacing w:after="0" w:line="280" w:lineRule="atLeast"/>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7FE876D0" w14:textId="77777777" w:rsidR="00A34B63" w:rsidRPr="00BA6536" w:rsidRDefault="00A34B63" w:rsidP="00A34B63">
      <w:pPr>
        <w:spacing w:after="0" w:line="280" w:lineRule="atLeast"/>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709440" behindDoc="0" locked="0" layoutInCell="1" allowOverlap="1" wp14:anchorId="1B6DBE9D" wp14:editId="5C364F6C">
                <wp:simplePos x="0" y="0"/>
                <wp:positionH relativeFrom="column">
                  <wp:posOffset>0</wp:posOffset>
                </wp:positionH>
                <wp:positionV relativeFrom="paragraph">
                  <wp:posOffset>-635</wp:posOffset>
                </wp:positionV>
                <wp:extent cx="60198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4F3411C" id="Straight Connector 5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vyQ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7VyvZLCg+MZvSQE&#10;M4xJ7IL3rGBAwUFWaorUcMHOH3D2KB4w0z736PI/ExLnou7lpq4+J6H48q5ePtzXPAT1Gqt+FUak&#10;9EkHJ7LRSmt8Jg4NnD5T4mac+pqSr314NtaW4VkvJgb/uM7IwCvUW0hsusikyA9SgB14N1XCgkjB&#10;mi5XZxzC4bizKE7A+7F+enjarzNR7vZbWm69BxqveSV03RxnEq+vNa6VTI1/c7X1GV2XBZwJZPGu&#10;cmXrGLpLUbHKHg+3NJ0XMW/PW5/tt5/L9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A+ZQHv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142302A6"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4:4</w:t>
      </w:r>
      <w:r w:rsidR="00A34B63" w:rsidRPr="00BA6536">
        <w:rPr>
          <w:rFonts w:eastAsia="Times New Roman" w:cs="Times New Roman"/>
          <w:b/>
        </w:rPr>
        <w:tab/>
        <w:t xml:space="preserve">Periodically update the housing conditions survey to identify areas in Mono County that would benefit from rehabilitation. </w:t>
      </w:r>
    </w:p>
    <w:p w14:paraId="1E29622A" w14:textId="77777777" w:rsidR="00A34B63" w:rsidRPr="00BA6536" w:rsidRDefault="001E1945"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 xml:space="preserve">Mono </w:t>
      </w:r>
      <w:r w:rsidR="00A34B63" w:rsidRPr="00BA6536">
        <w:rPr>
          <w:rFonts w:eastAsia="Times New Roman" w:cs="Times New Roman"/>
        </w:rPr>
        <w:t>County Housing Authority, Community Development Department/Building Division.</w:t>
      </w:r>
    </w:p>
    <w:p w14:paraId="34A7A027"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One year prior to required Housing Element Updates.</w:t>
      </w:r>
    </w:p>
    <w:p w14:paraId="1DB7C92B"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Due to the extremely low amount of building rehabilitation activity during the planning period, the housing conditions survey completed in 2009 has not been updated and is considered to still be an accurate depiction of housing conditions.</w:t>
      </w:r>
      <w:r w:rsidRPr="00BA6536">
        <w:rPr>
          <w:rFonts w:eastAsia="Times New Roman" w:cs="Times New Roman"/>
          <w:b/>
        </w:rPr>
        <w:t xml:space="preserve">  </w:t>
      </w:r>
    </w:p>
    <w:p w14:paraId="2EAD37A9"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463D1B59" w14:textId="77777777" w:rsidR="00A34B63" w:rsidRPr="00BA6536" w:rsidRDefault="00A34B63" w:rsidP="00A34B63">
      <w:pPr>
        <w:spacing w:after="0" w:line="280" w:lineRule="atLeast"/>
        <w:ind w:left="360" w:hanging="36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14:paraId="314EEDB7" w14:textId="77777777" w:rsidR="00A34B63" w:rsidRPr="00BA6536" w:rsidRDefault="00A34B63" w:rsidP="00A34B63">
      <w:pPr>
        <w:spacing w:after="0" w:line="280" w:lineRule="atLeast"/>
        <w:ind w:left="360" w:hanging="360"/>
        <w:jc w:val="both"/>
        <w:rPr>
          <w:rFonts w:eastAsia="Times New Roman" w:cs="Times New Roman"/>
          <w:b/>
        </w:rPr>
      </w:pPr>
      <w:r w:rsidRPr="00BA6536">
        <w:rPr>
          <w:rFonts w:eastAsia="Times New Roman" w:cs="Times New Roman"/>
          <w:noProof/>
        </w:rPr>
        <mc:AlternateContent>
          <mc:Choice Requires="wps">
            <w:drawing>
              <wp:anchor distT="0" distB="0" distL="114300" distR="114300" simplePos="0" relativeHeight="251710464" behindDoc="0" locked="0" layoutInCell="1" allowOverlap="1" wp14:anchorId="2A91B987" wp14:editId="33873AF9">
                <wp:simplePos x="0" y="0"/>
                <wp:positionH relativeFrom="column">
                  <wp:posOffset>0</wp:posOffset>
                </wp:positionH>
                <wp:positionV relativeFrom="paragraph">
                  <wp:posOffset>-635</wp:posOffset>
                </wp:positionV>
                <wp:extent cx="601980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D648A2" id="Straight Connector 5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Dzr9ZA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3C024ACA"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4:5</w:t>
      </w:r>
      <w:r w:rsidR="00A34B63" w:rsidRPr="00BA6536">
        <w:rPr>
          <w:rFonts w:eastAsia="Times New Roman" w:cs="Times New Roman"/>
          <w:b/>
        </w:rPr>
        <w:tab/>
        <w:t>Continue to participate in the state's Community Development Block Grant (CDBG) program for rehabilitation of owner-occupied housing units. The County's goal is to rehabilitate 40 units during the planning period. The County will apply annually for CDBG funds.</w:t>
      </w:r>
    </w:p>
    <w:p w14:paraId="3EFC01E6"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14:paraId="64E19837"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Develop a quantified objective for this program by 2010.</w:t>
      </w:r>
    </w:p>
    <w:p w14:paraId="3D9950A5"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 xml:space="preserve">The County continues to participate in the CDBG program when eligible. </w:t>
      </w:r>
    </w:p>
    <w:p w14:paraId="3DB79B8A"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47D6CF8E" w14:textId="77777777" w:rsidR="00A34B63" w:rsidRPr="00BA6536" w:rsidRDefault="00A34B63" w:rsidP="00A34B63">
      <w:pPr>
        <w:spacing w:after="0" w:line="280" w:lineRule="atLeast"/>
        <w:ind w:left="360" w:hanging="36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16E54CEF" w14:textId="77777777" w:rsidR="00A34B63" w:rsidRPr="00BA6536" w:rsidRDefault="00A34B63" w:rsidP="00A34B63">
      <w:pPr>
        <w:spacing w:after="0" w:line="280" w:lineRule="atLeast"/>
        <w:ind w:left="360" w:hanging="360"/>
        <w:jc w:val="both"/>
        <w:rPr>
          <w:rFonts w:eastAsia="Times New Roman" w:cs="Times New Roman"/>
          <w:b/>
        </w:rPr>
      </w:pPr>
      <w:r w:rsidRPr="00BA6536">
        <w:rPr>
          <w:rFonts w:eastAsia="Times New Roman" w:cs="Times New Roman"/>
          <w:noProof/>
        </w:rPr>
        <mc:AlternateContent>
          <mc:Choice Requires="wps">
            <w:drawing>
              <wp:anchor distT="0" distB="0" distL="114300" distR="114300" simplePos="0" relativeHeight="251711488" behindDoc="0" locked="0" layoutInCell="1" allowOverlap="1" wp14:anchorId="65EE2E82" wp14:editId="7D7B1913">
                <wp:simplePos x="0" y="0"/>
                <wp:positionH relativeFrom="column">
                  <wp:posOffset>0</wp:posOffset>
                </wp:positionH>
                <wp:positionV relativeFrom="paragraph">
                  <wp:posOffset>-635</wp:posOffset>
                </wp:positionV>
                <wp:extent cx="601980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EB5E620" id="Straight Connector 5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AS1xO5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75C53833"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4:6</w:t>
      </w:r>
      <w:r w:rsidR="00A34B63" w:rsidRPr="00BA6536">
        <w:rPr>
          <w:rFonts w:eastAsia="Times New Roman" w:cs="Times New Roman"/>
          <w:b/>
        </w:rPr>
        <w:tab/>
        <w:t xml:space="preserve">Provide community education regarding the availability of rehabilitation programs and provide public outreach regarding the availability of rehabilitation programs to low- and very low-income households and other special needs groups in areas identified as needing rehabilitation. </w:t>
      </w:r>
    </w:p>
    <w:p w14:paraId="2A09F264"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14:paraId="5AA4B587" w14:textId="77777777" w:rsidR="00A34B63" w:rsidRPr="00BA6536" w:rsidRDefault="00A34B63" w:rsidP="00A34B63">
      <w:pPr>
        <w:tabs>
          <w:tab w:val="left" w:pos="1620"/>
        </w:tabs>
        <w:spacing w:after="0" w:line="280" w:lineRule="atLeast"/>
        <w:ind w:left="1170" w:hanging="1170"/>
        <w:rPr>
          <w:rFonts w:eastAsia="Times New Roman" w:cs="Times New Roman"/>
        </w:rPr>
      </w:pPr>
      <w:r w:rsidRPr="00BA6536">
        <w:rPr>
          <w:rFonts w:eastAsia="Times New Roman" w:cs="Times New Roman"/>
        </w:rPr>
        <w:t>Timeframe: Provide links on website by 2010; update annually.  Begin public outreach concerning rehabilitation programs by 2010.</w:t>
      </w:r>
    </w:p>
    <w:p w14:paraId="7BD4D5A7" w14:textId="77777777" w:rsidR="00A34B63" w:rsidRPr="00BA6536" w:rsidRDefault="00A34B63" w:rsidP="00A34B63">
      <w:pPr>
        <w:tabs>
          <w:tab w:val="left" w:pos="1080"/>
          <w:tab w:val="left" w:pos="1260"/>
        </w:tabs>
        <w:spacing w:after="0" w:line="280" w:lineRule="atLeast"/>
        <w:ind w:left="990" w:hanging="990"/>
        <w:rPr>
          <w:rFonts w:eastAsia="Times New Roman" w:cs="Times New Roman"/>
          <w:b/>
        </w:rPr>
      </w:pPr>
      <w:r w:rsidRPr="00BA6536">
        <w:rPr>
          <w:rFonts w:eastAsia="Times New Roman" w:cs="Times New Roman"/>
          <w:b/>
        </w:rPr>
        <w:t xml:space="preserve">Progress:  </w:t>
      </w:r>
      <w:r w:rsidRPr="00BA6536">
        <w:rPr>
          <w:rFonts w:eastAsia="Times New Roman" w:cs="Times New Roman"/>
        </w:rPr>
        <w:t>Information is provided at the permit center counter and at public workshops held by the building division.</w:t>
      </w:r>
    </w:p>
    <w:p w14:paraId="2F15712A"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 </w:t>
      </w:r>
    </w:p>
    <w:p w14:paraId="64A317B8" w14:textId="77777777" w:rsidR="00A34B63" w:rsidRPr="00BA6536" w:rsidRDefault="00A34B63" w:rsidP="00A34B63">
      <w:pPr>
        <w:spacing w:after="0" w:line="280" w:lineRule="atLeast"/>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5FD1E846" w14:textId="77777777" w:rsidR="00A34B63" w:rsidRPr="00BA6536" w:rsidRDefault="00A34B63" w:rsidP="00A34B63">
      <w:pPr>
        <w:spacing w:after="0" w:line="280" w:lineRule="atLeast"/>
        <w:ind w:left="1260" w:hanging="1260"/>
        <w:jc w:val="both"/>
        <w:rPr>
          <w:rFonts w:eastAsia="Times New Roman" w:cs="Times New Roman"/>
          <w:b/>
        </w:rPr>
      </w:pPr>
      <w:r w:rsidRPr="00BA6536">
        <w:rPr>
          <w:rFonts w:eastAsia="Times New Roman" w:cs="Times New Roman"/>
          <w:noProof/>
        </w:rPr>
        <mc:AlternateContent>
          <mc:Choice Requires="wps">
            <w:drawing>
              <wp:anchor distT="0" distB="0" distL="114300" distR="114300" simplePos="0" relativeHeight="251712512" behindDoc="0" locked="0" layoutInCell="1" allowOverlap="1" wp14:anchorId="767DE4A9" wp14:editId="56BA23D9">
                <wp:simplePos x="0" y="0"/>
                <wp:positionH relativeFrom="column">
                  <wp:posOffset>0</wp:posOffset>
                </wp:positionH>
                <wp:positionV relativeFrom="paragraph">
                  <wp:posOffset>-635</wp:posOffset>
                </wp:positionV>
                <wp:extent cx="601980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0092F70" id="Straight Connector 5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N8dxBb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12C8BDFE"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4:7</w:t>
      </w:r>
      <w:r w:rsidR="00A34B63" w:rsidRPr="00BA6536">
        <w:rPr>
          <w:rFonts w:eastAsia="Times New Roman" w:cs="Times New Roman"/>
          <w:b/>
        </w:rPr>
        <w:tab/>
        <w:t>Assist applicants in accessing home rehabilitation loans.</w:t>
      </w:r>
    </w:p>
    <w:p w14:paraId="3A2D76B7"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14:paraId="7D302238" w14:textId="77777777" w:rsidR="00A34B63" w:rsidRPr="00BA6536" w:rsidRDefault="00A34B63" w:rsidP="00A34B63">
      <w:pPr>
        <w:tabs>
          <w:tab w:val="left" w:pos="1620"/>
        </w:tabs>
        <w:spacing w:after="0" w:line="280" w:lineRule="atLeast"/>
        <w:ind w:left="1260" w:hanging="1260"/>
        <w:rPr>
          <w:rFonts w:eastAsia="Times New Roman" w:cs="Times New Roman"/>
        </w:rPr>
      </w:pPr>
      <w:r w:rsidRPr="00BA6536">
        <w:rPr>
          <w:rFonts w:eastAsia="Times New Roman" w:cs="Times New Roman"/>
        </w:rPr>
        <w:t>Timeframe: Provide links on website by 2010; update annually.  Assist with home rehabilitation loans annually.</w:t>
      </w:r>
    </w:p>
    <w:p w14:paraId="3A9DB315"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w:t>
      </w:r>
      <w:r w:rsidRPr="00BA6536">
        <w:rPr>
          <w:rFonts w:eastAsia="Times New Roman" w:cs="Times New Roman"/>
          <w:b/>
        </w:rPr>
        <w:t xml:space="preserve"> </w:t>
      </w:r>
      <w:r w:rsidRPr="00BA6536">
        <w:rPr>
          <w:rFonts w:eastAsia="Times New Roman" w:cs="Times New Roman"/>
        </w:rPr>
        <w:t>updated website and permit center counter both provide information on relevant programs.</w:t>
      </w:r>
      <w:r w:rsidRPr="00BA6536">
        <w:rPr>
          <w:rFonts w:eastAsia="Times New Roman" w:cs="Times New Roman"/>
          <w:b/>
        </w:rPr>
        <w:t xml:space="preserve">   </w:t>
      </w:r>
    </w:p>
    <w:p w14:paraId="4EEC0678"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4FC0FB44" w14:textId="77777777" w:rsidR="00A34B63" w:rsidRPr="00BA6536" w:rsidRDefault="00A34B63" w:rsidP="00A34B6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r w:rsidRPr="00BA6536">
        <w:rPr>
          <w:rFonts w:eastAsia="Times New Roman" w:cs="Times New Roman"/>
          <w:b/>
        </w:rPr>
        <w:t xml:space="preserve"> </w:t>
      </w:r>
    </w:p>
    <w:p w14:paraId="39743918" w14:textId="77777777" w:rsidR="00A34B63" w:rsidRPr="00BA6536" w:rsidRDefault="00A34B63" w:rsidP="00A34B63">
      <w:pPr>
        <w:spacing w:after="0" w:line="280" w:lineRule="atLeast"/>
        <w:ind w:left="1080" w:hanging="1080"/>
        <w:jc w:val="both"/>
        <w:rPr>
          <w:rFonts w:eastAsia="Times New Roman" w:cs="Times New Roman"/>
        </w:rPr>
      </w:pPr>
      <w:r w:rsidRPr="00BA6536">
        <w:rPr>
          <w:rFonts w:eastAsia="Times New Roman" w:cs="Times New Roman"/>
          <w:noProof/>
        </w:rPr>
        <mc:AlternateContent>
          <mc:Choice Requires="wps">
            <w:drawing>
              <wp:anchor distT="0" distB="0" distL="114300" distR="114300" simplePos="0" relativeHeight="251713536" behindDoc="0" locked="0" layoutInCell="1" allowOverlap="1" wp14:anchorId="3DFE30CC" wp14:editId="5BA2CA57">
                <wp:simplePos x="0" y="0"/>
                <wp:positionH relativeFrom="column">
                  <wp:posOffset>0</wp:posOffset>
                </wp:positionH>
                <wp:positionV relativeFrom="paragraph">
                  <wp:posOffset>-635</wp:posOffset>
                </wp:positionV>
                <wp:extent cx="60198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0E5B439" id="Straight Connector 5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DJRM09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3ABF1BF2"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 xml:space="preserve">Program 4:8 </w:t>
      </w:r>
      <w:r w:rsidR="00A34B63" w:rsidRPr="00BA6536">
        <w:rPr>
          <w:rFonts w:eastAsia="Times New Roman" w:cs="Times New Roman"/>
          <w:b/>
        </w:rPr>
        <w:t xml:space="preserve">Consider methods to encourage the private rehabilitation of housing, particularly rental housing. </w:t>
      </w:r>
    </w:p>
    <w:p w14:paraId="509FDEAA"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 Board of Supervisors.</w:t>
      </w:r>
    </w:p>
    <w:p w14:paraId="202E121A"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Ongoing, 2007-2014.</w:t>
      </w:r>
    </w:p>
    <w:p w14:paraId="227929F7" w14:textId="77777777" w:rsidR="00A34B63" w:rsidRPr="00BA6536" w:rsidRDefault="00A34B63" w:rsidP="00A34B63">
      <w:pPr>
        <w:tabs>
          <w:tab w:val="left" w:pos="1080"/>
          <w:tab w:val="left" w:pos="1260"/>
        </w:tabs>
        <w:spacing w:after="0" w:line="280" w:lineRule="atLeast"/>
        <w:ind w:left="1170" w:hanging="1170"/>
        <w:rPr>
          <w:rFonts w:eastAsia="Times New Roman" w:cs="Times New Roman"/>
          <w:b/>
        </w:rPr>
      </w:pPr>
      <w:r w:rsidRPr="00BA6536">
        <w:rPr>
          <w:rFonts w:eastAsia="Times New Roman" w:cs="Times New Roman"/>
          <w:b/>
        </w:rPr>
        <w:t xml:space="preserve">Progress:  </w:t>
      </w:r>
      <w:r w:rsidRPr="00BA6536">
        <w:rPr>
          <w:rFonts w:eastAsia="Times New Roman" w:cs="Times New Roman"/>
        </w:rPr>
        <w:t>The County offered a limited fee reduction program for all building permits that resulted in one hundred thousand dollars of fee reductions during 2011-12.  Building division staff continues to evaluate fee structures and consider fee incentives.</w:t>
      </w:r>
      <w:r w:rsidRPr="00BA6536">
        <w:rPr>
          <w:rFonts w:eastAsia="Times New Roman" w:cs="Times New Roman"/>
          <w:b/>
        </w:rPr>
        <w:t xml:space="preserve">  </w:t>
      </w:r>
    </w:p>
    <w:p w14:paraId="1D4BBD41"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7DA815E4" w14:textId="77777777" w:rsidR="00A34B63" w:rsidRPr="00BA6536" w:rsidRDefault="00A34B63" w:rsidP="00A34B63">
      <w:pPr>
        <w:spacing w:after="0" w:line="280" w:lineRule="atLeast"/>
        <w:ind w:left="1080" w:hanging="1080"/>
        <w:jc w:val="both"/>
        <w:rPr>
          <w:rFonts w:eastAsia="Times New Roman" w:cs="Times New Roman"/>
          <w:b/>
        </w:rPr>
      </w:pPr>
      <w:r w:rsidRPr="00BA6536">
        <w:rPr>
          <w:rFonts w:eastAsia="Times New Roman" w:cs="Times New Roman"/>
          <w:b/>
        </w:rPr>
        <w:t xml:space="preserve">Adjustments to Program: </w:t>
      </w:r>
      <w:r w:rsidRPr="00BA6536">
        <w:rPr>
          <w:rFonts w:eastAsia="Times New Roman" w:cs="Times New Roman"/>
        </w:rPr>
        <w:t>Program will continue.</w:t>
      </w:r>
    </w:p>
    <w:p w14:paraId="345CBD45" w14:textId="77777777" w:rsidR="003359B5" w:rsidRPr="00BA6536" w:rsidRDefault="003359B5" w:rsidP="00B80A5B">
      <w:pPr>
        <w:spacing w:after="0" w:line="280" w:lineRule="atLeast"/>
        <w:jc w:val="both"/>
        <w:rPr>
          <w:rFonts w:eastAsia="Times New Roman" w:cs="ArialMT"/>
          <w:lang w:bidi="en-US"/>
        </w:rPr>
      </w:pPr>
    </w:p>
    <w:p w14:paraId="64D5DA34"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4:9</w:t>
      </w:r>
      <w:r w:rsidR="00A34B63" w:rsidRPr="00BA6536">
        <w:rPr>
          <w:rFonts w:eastAsia="Times New Roman" w:cs="Times New Roman"/>
          <w:b/>
        </w:rPr>
        <w:tab/>
        <w:t>Consider developing an active rental inspection program to ensure rental housing maintenance. This may require a fee to support inspection services. Careful consideration should be given to the fee structure to avoid increasing the costs of rental housing. Also consider a "self-certification program" for landlords who participate in a maintenance/management training program. Apply for and utilize CDBG funds to ensure affordability will not be affected by maintenance activities.</w:t>
      </w:r>
    </w:p>
    <w:p w14:paraId="7B20EA6F"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 Community Development Department/Code Enforcement Division.</w:t>
      </w:r>
    </w:p>
    <w:p w14:paraId="38CE9398"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Implement action items listed below by 2012.</w:t>
      </w:r>
    </w:p>
    <w:p w14:paraId="6800FE04" w14:textId="77777777" w:rsidR="00A34B63" w:rsidRPr="00BA6536" w:rsidRDefault="00661F75" w:rsidP="00661F75">
      <w:pPr>
        <w:tabs>
          <w:tab w:val="left" w:pos="1080"/>
          <w:tab w:val="left" w:pos="1260"/>
        </w:tabs>
        <w:spacing w:after="0" w:line="280" w:lineRule="atLeast"/>
        <w:ind w:left="990" w:hanging="99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A tenant oriented inspection program has not been developed, however, the building division and code enforcement division work closely with building owners, including fee based walk through inspection services. </w:t>
      </w:r>
    </w:p>
    <w:p w14:paraId="091DCA74"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661F75" w:rsidRPr="00BA6536">
        <w:rPr>
          <w:rFonts w:eastAsia="Times New Roman" w:cs="Times New Roman"/>
        </w:rPr>
        <w:t>Successful, Ongoing.</w:t>
      </w:r>
    </w:p>
    <w:p w14:paraId="56EC864D" w14:textId="77777777" w:rsidR="00A34B63" w:rsidRPr="00BA6536" w:rsidRDefault="00A34B63" w:rsidP="00A34B63">
      <w:pPr>
        <w:spacing w:after="0" w:line="280" w:lineRule="atLeast"/>
        <w:jc w:val="both"/>
        <w:rPr>
          <w:rFonts w:eastAsia="Times New Roman" w:cs="Times New Roman"/>
          <w:b/>
        </w:rPr>
      </w:pPr>
      <w:r w:rsidRPr="00BA6536">
        <w:rPr>
          <w:rFonts w:eastAsia="Times New Roman" w:cs="Times New Roman"/>
          <w:b/>
        </w:rPr>
        <w:t>Adjustments to Program:</w:t>
      </w:r>
      <w:r w:rsidR="00661F75" w:rsidRPr="00BA6536">
        <w:rPr>
          <w:rFonts w:eastAsia="Times New Roman" w:cs="Times New Roman"/>
          <w:b/>
        </w:rPr>
        <w:t xml:space="preserve"> </w:t>
      </w:r>
      <w:r w:rsidR="00661F75" w:rsidRPr="00BA6536">
        <w:rPr>
          <w:rFonts w:eastAsia="Times New Roman" w:cs="Times New Roman"/>
        </w:rPr>
        <w:t>Program will continue.</w:t>
      </w:r>
      <w:r w:rsidR="00661F75" w:rsidRPr="00BA6536">
        <w:rPr>
          <w:rFonts w:eastAsia="Times New Roman" w:cs="Times New Roman"/>
          <w:b/>
        </w:rPr>
        <w:t xml:space="preserve"> </w:t>
      </w:r>
    </w:p>
    <w:p w14:paraId="4AE920B9" w14:textId="77777777" w:rsidR="00A34B63" w:rsidRPr="00BA6536" w:rsidRDefault="00A34B63" w:rsidP="00A34B63">
      <w:pPr>
        <w:spacing w:after="0" w:line="280" w:lineRule="atLeast"/>
        <w:jc w:val="both"/>
        <w:rPr>
          <w:rFonts w:ascii="Times New Roman" w:eastAsia="Times New Roman" w:hAnsi="Times New Roman" w:cs="Times New Roman"/>
          <w:sz w:val="24"/>
          <w:szCs w:val="24"/>
        </w:rPr>
      </w:pPr>
      <w:r w:rsidRPr="00BA6536">
        <w:rPr>
          <w:rFonts w:ascii="Times New Roman" w:eastAsia="Times New Roman" w:hAnsi="Times New Roman" w:cs="Times New Roman"/>
          <w:noProof/>
          <w:sz w:val="16"/>
          <w:szCs w:val="20"/>
        </w:rPr>
        <mc:AlternateContent>
          <mc:Choice Requires="wps">
            <w:drawing>
              <wp:anchor distT="0" distB="0" distL="114300" distR="114300" simplePos="0" relativeHeight="251715584" behindDoc="0" locked="0" layoutInCell="1" allowOverlap="1" wp14:anchorId="0F394958" wp14:editId="23BF715D">
                <wp:simplePos x="0" y="0"/>
                <wp:positionH relativeFrom="column">
                  <wp:posOffset>0</wp:posOffset>
                </wp:positionH>
                <wp:positionV relativeFrom="paragraph">
                  <wp:posOffset>-635</wp:posOffset>
                </wp:positionV>
                <wp:extent cx="60198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18C88AE" id="Straight Connector 5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EqzNhX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6C99307F"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 xml:space="preserve">Program 4:10 </w:t>
      </w:r>
      <w:r w:rsidR="00A34B63" w:rsidRPr="00BA6536">
        <w:rPr>
          <w:rFonts w:eastAsia="Times New Roman" w:cs="Times New Roman"/>
          <w:b/>
        </w:rPr>
        <w:tab/>
        <w:t xml:space="preserve">Encourage the private rehabilitation of housing through enforcement of the property maintenance provisions of the various building codes enforced by the County. </w:t>
      </w:r>
    </w:p>
    <w:p w14:paraId="4BE6696E"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Department/Code Enforcement and Building Divisions.</w:t>
      </w:r>
    </w:p>
    <w:p w14:paraId="61676D03"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Ongoing, 2007-2014.</w:t>
      </w:r>
    </w:p>
    <w:p w14:paraId="57CDF3F0"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b/>
        </w:rPr>
      </w:pPr>
      <w:r w:rsidRPr="00BA6536">
        <w:rPr>
          <w:rFonts w:eastAsia="Times New Roman" w:cs="Times New Roman"/>
          <w:b/>
        </w:rPr>
        <w:t xml:space="preserve">Progress:  </w:t>
      </w:r>
      <w:r w:rsidRPr="00BA6536">
        <w:rPr>
          <w:rFonts w:eastAsia="Times New Roman" w:cs="Times New Roman"/>
        </w:rPr>
        <w:t>The Building and Code Enforcement Divisions actively enforce the California Building Code and Health and Safety Code.</w:t>
      </w:r>
    </w:p>
    <w:p w14:paraId="131434F4"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Successful, Ongoing.</w:t>
      </w:r>
    </w:p>
    <w:p w14:paraId="0940244C" w14:textId="77777777"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 xml:space="preserve">Adjustments to Program: </w:t>
      </w:r>
      <w:r w:rsidRPr="00BA6536">
        <w:rPr>
          <w:rFonts w:eastAsia="Times New Roman" w:cs="Times New Roman"/>
        </w:rPr>
        <w:t>Program will continue.</w:t>
      </w:r>
    </w:p>
    <w:p w14:paraId="7CBD3F2A" w14:textId="77777777" w:rsidR="00A34B63" w:rsidRPr="00BA6536" w:rsidRDefault="00A34B63" w:rsidP="00A34B63">
      <w:pPr>
        <w:spacing w:after="0" w:line="280" w:lineRule="atLeast"/>
        <w:jc w:val="both"/>
        <w:rPr>
          <w:rFonts w:ascii="Times New Roman" w:eastAsia="Times New Roman" w:hAnsi="Times New Roman" w:cs="Times New Roman"/>
          <w:b/>
          <w:sz w:val="24"/>
          <w:szCs w:val="20"/>
        </w:rPr>
      </w:pPr>
    </w:p>
    <w:p w14:paraId="032D1A02" w14:textId="77777777" w:rsidR="00A34B63" w:rsidRPr="00BA6536" w:rsidRDefault="00D72B24" w:rsidP="00A34B63">
      <w:pPr>
        <w:spacing w:after="0" w:line="280" w:lineRule="atLeast"/>
        <w:jc w:val="both"/>
        <w:rPr>
          <w:rFonts w:eastAsia="Times New Roman" w:cs="Times New Roman"/>
          <w:b/>
        </w:rPr>
      </w:pPr>
      <w:r>
        <w:rPr>
          <w:rFonts w:eastAsia="Times New Roman" w:cs="Times New Roman"/>
          <w:b/>
        </w:rPr>
        <w:t>Program 4:11</w:t>
      </w:r>
      <w:r w:rsidR="00A34B63" w:rsidRPr="00BA6536">
        <w:rPr>
          <w:rFonts w:eastAsia="Times New Roman" w:cs="Times New Roman"/>
          <w:b/>
        </w:rPr>
        <w:tab/>
        <w:t>Encourage the rehabilitation of existing units over their demolition where practical through such measures as:</w:t>
      </w:r>
    </w:p>
    <w:p w14:paraId="744B79FE" w14:textId="77777777" w:rsidR="00A34B63" w:rsidRPr="00BA6536" w:rsidRDefault="00A34B63" w:rsidP="00A34B63">
      <w:pPr>
        <w:numPr>
          <w:ilvl w:val="0"/>
          <w:numId w:val="13"/>
        </w:numPr>
        <w:spacing w:after="0" w:line="280" w:lineRule="atLeast"/>
        <w:ind w:left="1440"/>
        <w:jc w:val="both"/>
        <w:rPr>
          <w:rFonts w:eastAsia="Times New Roman" w:cs="Times New Roman"/>
          <w:b/>
        </w:rPr>
      </w:pPr>
      <w:r w:rsidRPr="00BA6536">
        <w:rPr>
          <w:rFonts w:eastAsia="Times New Roman" w:cs="Times New Roman"/>
          <w:b/>
        </w:rPr>
        <w:t>Providing flexibility in administering building code requirements to facilitate the repair, remodel and refurbishment of existing units instead of their demolition;</w:t>
      </w:r>
    </w:p>
    <w:p w14:paraId="0E93F91E" w14:textId="77777777" w:rsidR="00A34B63" w:rsidRPr="00BA6536" w:rsidRDefault="00A34B63" w:rsidP="00A34B63">
      <w:pPr>
        <w:numPr>
          <w:ilvl w:val="0"/>
          <w:numId w:val="13"/>
        </w:numPr>
        <w:spacing w:after="0" w:line="280" w:lineRule="atLeast"/>
        <w:ind w:left="1440"/>
        <w:jc w:val="both"/>
        <w:rPr>
          <w:rFonts w:eastAsia="Times New Roman" w:cs="Times New Roman"/>
          <w:b/>
        </w:rPr>
      </w:pPr>
      <w:r w:rsidRPr="00BA6536">
        <w:rPr>
          <w:rFonts w:eastAsia="Times New Roman" w:cs="Times New Roman"/>
          <w:b/>
        </w:rPr>
        <w:t>Developing a user-friendly process for repair, remodel and refurbishment, including handouts;</w:t>
      </w:r>
    </w:p>
    <w:p w14:paraId="5DC8B768" w14:textId="77777777" w:rsidR="00A34B63" w:rsidRPr="00BA6536" w:rsidRDefault="00A34B63" w:rsidP="00A34B63">
      <w:pPr>
        <w:numPr>
          <w:ilvl w:val="0"/>
          <w:numId w:val="13"/>
        </w:numPr>
        <w:spacing w:after="0" w:line="280" w:lineRule="atLeast"/>
        <w:ind w:left="1440"/>
        <w:jc w:val="both"/>
        <w:rPr>
          <w:rFonts w:eastAsia="Times New Roman" w:cs="Times New Roman"/>
          <w:b/>
        </w:rPr>
      </w:pPr>
      <w:r w:rsidRPr="00BA6536">
        <w:rPr>
          <w:rFonts w:eastAsia="Times New Roman" w:cs="Times New Roman"/>
          <w:b/>
        </w:rPr>
        <w:t>Providing courtesy walk-through field assistance for owners seeking help in determining if demolition is necessary;</w:t>
      </w:r>
    </w:p>
    <w:p w14:paraId="783103DE" w14:textId="77777777" w:rsidR="00A34B63" w:rsidRPr="00BA6536" w:rsidRDefault="00A34B63" w:rsidP="00A34B63">
      <w:pPr>
        <w:numPr>
          <w:ilvl w:val="0"/>
          <w:numId w:val="13"/>
        </w:numPr>
        <w:spacing w:after="0" w:line="280" w:lineRule="atLeast"/>
        <w:ind w:left="1440"/>
        <w:jc w:val="both"/>
        <w:rPr>
          <w:rFonts w:eastAsia="Times New Roman" w:cs="Times New Roman"/>
          <w:b/>
        </w:rPr>
      </w:pPr>
      <w:r w:rsidRPr="00BA6536">
        <w:rPr>
          <w:rFonts w:eastAsia="Times New Roman" w:cs="Times New Roman"/>
          <w:b/>
        </w:rPr>
        <w:t>Considering fee reductions and fast-track permit review for qualifying remodels; and</w:t>
      </w:r>
    </w:p>
    <w:p w14:paraId="0B6E5BDB" w14:textId="77777777" w:rsidR="00A34B63" w:rsidRPr="00BA6536" w:rsidRDefault="00A34B63" w:rsidP="00A34B63">
      <w:pPr>
        <w:numPr>
          <w:ilvl w:val="0"/>
          <w:numId w:val="13"/>
        </w:numPr>
        <w:spacing w:after="0" w:line="280" w:lineRule="atLeast"/>
        <w:ind w:left="1440"/>
        <w:jc w:val="both"/>
        <w:rPr>
          <w:rFonts w:eastAsia="Times New Roman" w:cs="Times New Roman"/>
          <w:b/>
        </w:rPr>
      </w:pPr>
      <w:r w:rsidRPr="00BA6536">
        <w:rPr>
          <w:rFonts w:eastAsia="Times New Roman" w:cs="Times New Roman"/>
          <w:b/>
        </w:rPr>
        <w:t>Conducting outreach to communities and development interests regarding programs available for repair, remodel and refurbishment.</w:t>
      </w:r>
    </w:p>
    <w:p w14:paraId="23C68BF2"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w:t>
      </w:r>
    </w:p>
    <w:p w14:paraId="12F37CE9"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See actions below.</w:t>
      </w:r>
    </w:p>
    <w:p w14:paraId="220BC0C0" w14:textId="77777777" w:rsidR="00A34B63" w:rsidRPr="00BA6536" w:rsidRDefault="006B3F54" w:rsidP="006B3F54">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The building division has been very proactive in allowing flexible administration of the building code, and proving walk-through and field assistance to applicants seeking to rehabilitate structures</w:t>
      </w:r>
      <w:r w:rsidR="00A02DFF" w:rsidRPr="00BA6536">
        <w:rPr>
          <w:rFonts w:eastAsia="Times New Roman" w:cs="Times New Roman"/>
        </w:rPr>
        <w:t>, including the development of handouts and “prescribed” designs</w:t>
      </w:r>
      <w:r w:rsidRPr="00BA6536">
        <w:rPr>
          <w:rFonts w:eastAsia="Times New Roman" w:cs="Times New Roman"/>
        </w:rPr>
        <w:t xml:space="preserve">.  Noted achievements during the planning period include the conversion of an existing garage into a new residence, and the rehabilitation of several cabins previously condemned.    </w:t>
      </w:r>
    </w:p>
    <w:p w14:paraId="37EE51E1"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6B3F54" w:rsidRPr="00BA6536">
        <w:rPr>
          <w:rFonts w:eastAsia="Times New Roman" w:cs="Times New Roman"/>
        </w:rPr>
        <w:t xml:space="preserve">Successful, Ongoing. </w:t>
      </w:r>
    </w:p>
    <w:p w14:paraId="4CC7ED32" w14:textId="77777777"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Adjustments to Program:</w:t>
      </w:r>
      <w:r w:rsidR="006B3F54" w:rsidRPr="00BA6536">
        <w:rPr>
          <w:rFonts w:eastAsia="Times New Roman" w:cs="Times New Roman"/>
          <w:b/>
        </w:rPr>
        <w:t xml:space="preserve"> </w:t>
      </w:r>
      <w:r w:rsidR="006B3F54" w:rsidRPr="00BA6536">
        <w:rPr>
          <w:rFonts w:eastAsia="Times New Roman" w:cs="Times New Roman"/>
        </w:rPr>
        <w:t>Program will continue.</w:t>
      </w:r>
      <w:r w:rsidR="006B3F54" w:rsidRPr="00BA6536">
        <w:rPr>
          <w:rFonts w:eastAsia="Times New Roman" w:cs="Times New Roman"/>
          <w:b/>
        </w:rPr>
        <w:t xml:space="preserve"> </w:t>
      </w:r>
    </w:p>
    <w:p w14:paraId="2CE36371" w14:textId="77777777" w:rsidR="00A34B63" w:rsidRPr="00BA6536" w:rsidRDefault="00A34B63" w:rsidP="00B80A5B">
      <w:pPr>
        <w:spacing w:after="0" w:line="280" w:lineRule="atLeast"/>
        <w:jc w:val="both"/>
        <w:rPr>
          <w:rFonts w:eastAsia="Times New Roman" w:cs="Times New Roman"/>
        </w:rPr>
      </w:pPr>
    </w:p>
    <w:bookmarkStart w:id="362" w:name="_Toc383700161"/>
    <w:p w14:paraId="2A6ABC72" w14:textId="77777777" w:rsidR="00A34B63" w:rsidRPr="00BA6536" w:rsidRDefault="00A34B63" w:rsidP="003D5E81">
      <w:pPr>
        <w:pStyle w:val="Heading2"/>
        <w:rPr>
          <w:rFonts w:eastAsia="Times New Roman" w:cs="ArialMT"/>
          <w:color w:val="auto"/>
          <w:lang w:bidi="en-US"/>
        </w:rPr>
      </w:pPr>
      <w:r w:rsidRPr="00BA6536">
        <w:rPr>
          <w:rFonts w:ascii="New York" w:eastAsia="Times New Roman" w:hAnsi="New York" w:cs="Times New Roman"/>
          <w:noProof/>
          <w:color w:val="auto"/>
          <w:sz w:val="24"/>
          <w:szCs w:val="20"/>
        </w:rPr>
        <mc:AlternateContent>
          <mc:Choice Requires="wps">
            <w:drawing>
              <wp:anchor distT="0" distB="0" distL="114300" distR="114300" simplePos="0" relativeHeight="251716608" behindDoc="0" locked="0" layoutInCell="1" allowOverlap="1" wp14:anchorId="026CBFB3" wp14:editId="2102F15F">
                <wp:simplePos x="0" y="0"/>
                <wp:positionH relativeFrom="column">
                  <wp:posOffset>0</wp:posOffset>
                </wp:positionH>
                <wp:positionV relativeFrom="paragraph">
                  <wp:posOffset>-635</wp:posOffset>
                </wp:positionV>
                <wp:extent cx="60198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202A4A5" id="Straight Connector 5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CHeeG6yQEAAHYDAAAOAAAAAAAAAAAA&#10;AAAAAC4CAABkcnMvZTJvRG9jLnhtbFBLAQItABQABgAIAAAAIQAlYU/t2gAAAAQBAAAPAAAAAAAA&#10;AAAAAAAAACMEAABkcnMvZG93bnJldi54bWxQSwUGAAAAAAQABADzAAAAKgUAAAAA&#10;" strokecolor="#5b9bd5" strokeweight=".5pt">
                <v:stroke joinstyle="miter"/>
              </v:line>
            </w:pict>
          </mc:Fallback>
        </mc:AlternateContent>
      </w:r>
      <w:r w:rsidR="002E1FEA">
        <w:rPr>
          <w:rFonts w:eastAsia="Times New Roman" w:cs="Times New Roman"/>
          <w:color w:val="auto"/>
        </w:rPr>
        <w:t xml:space="preserve">E. </w:t>
      </w:r>
      <w:r w:rsidRPr="00BA6536">
        <w:rPr>
          <w:rFonts w:eastAsia="Times New Roman" w:cs="Times New Roman"/>
          <w:color w:val="auto"/>
        </w:rPr>
        <w:t>EQUAL HOUSING OPPORTUNITIES</w:t>
      </w:r>
      <w:bookmarkEnd w:id="362"/>
    </w:p>
    <w:p w14:paraId="5BCC2573" w14:textId="77777777" w:rsidR="00A34B63" w:rsidRPr="00BA6536" w:rsidRDefault="006365B4" w:rsidP="00A34B63">
      <w:pPr>
        <w:spacing w:after="0" w:line="280" w:lineRule="atLeast"/>
        <w:ind w:left="1260" w:hanging="1260"/>
        <w:jc w:val="both"/>
        <w:rPr>
          <w:rFonts w:eastAsia="Times New Roman" w:cs="Times New Roman"/>
          <w:b/>
        </w:rPr>
      </w:pPr>
      <w:r>
        <w:rPr>
          <w:rFonts w:eastAsia="Times New Roman" w:cs="Times New Roman"/>
          <w:b/>
        </w:rPr>
        <w:t>Program 5</w:t>
      </w:r>
      <w:r w:rsidR="00D72B24">
        <w:rPr>
          <w:rFonts w:eastAsia="Times New Roman" w:cs="Times New Roman"/>
          <w:b/>
        </w:rPr>
        <w:t>:1</w:t>
      </w:r>
      <w:r w:rsidR="00A34B63" w:rsidRPr="00BA6536">
        <w:rPr>
          <w:rFonts w:eastAsia="Times New Roman" w:cs="Times New Roman"/>
          <w:b/>
        </w:rPr>
        <w:tab/>
        <w:t>Disseminate and maintain fair housing information and education materials throughout the County and ensure public awareness of fair housing laws and processes. Materials will be distributed in a variety of public locations including government centers, libraries, post offices, and shopping areas.</w:t>
      </w:r>
    </w:p>
    <w:p w14:paraId="41C583EB"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14:paraId="5162B1BA"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Provide links on website by 2010; update annually.</w:t>
      </w:r>
    </w:p>
    <w:p w14:paraId="524900DD" w14:textId="77777777" w:rsidR="00A34B63" w:rsidRPr="00BA6536" w:rsidRDefault="00A02DFF" w:rsidP="00A02DFF">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 xml:space="preserve">Progress: </w:t>
      </w:r>
      <w:r w:rsidRPr="00BA6536">
        <w:rPr>
          <w:rFonts w:eastAsia="Times New Roman" w:cs="Times New Roman"/>
        </w:rPr>
        <w:t xml:space="preserve">Fair housing information is available on the county web-site, at the county permit center and through Mammoth Lakes Housing.  </w:t>
      </w:r>
    </w:p>
    <w:p w14:paraId="55B30563"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A02DFF" w:rsidRPr="00BA6536">
        <w:rPr>
          <w:rFonts w:eastAsia="Times New Roman" w:cs="Times New Roman"/>
        </w:rPr>
        <w:t>Successful, Ongoing.</w:t>
      </w:r>
    </w:p>
    <w:p w14:paraId="4FE27E68" w14:textId="77777777"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Adjustments to Program:</w:t>
      </w:r>
      <w:r w:rsidR="00A02DFF" w:rsidRPr="00BA6536">
        <w:rPr>
          <w:rFonts w:eastAsia="Times New Roman" w:cs="Times New Roman"/>
          <w:b/>
        </w:rPr>
        <w:t xml:space="preserve"> </w:t>
      </w:r>
      <w:r w:rsidR="00A02DFF" w:rsidRPr="00BA6536">
        <w:rPr>
          <w:rFonts w:eastAsia="Times New Roman" w:cs="Times New Roman"/>
        </w:rPr>
        <w:t xml:space="preserve">Program will continue.  </w:t>
      </w:r>
    </w:p>
    <w:p w14:paraId="3F1834A6" w14:textId="77777777" w:rsidR="00A34B63" w:rsidRPr="00BA6536" w:rsidRDefault="00A34B63" w:rsidP="00A34B63">
      <w:pPr>
        <w:spacing w:after="0" w:line="280" w:lineRule="atLeast"/>
        <w:jc w:val="both"/>
        <w:rPr>
          <w:rFonts w:ascii="Times New Roman" w:eastAsia="Times New Roman" w:hAnsi="Times New Roman" w:cs="Times New Roman"/>
          <w:sz w:val="24"/>
          <w:szCs w:val="20"/>
          <w:highlight w:val="yellow"/>
        </w:rPr>
      </w:pPr>
      <w:r w:rsidRPr="00BA6536">
        <w:rPr>
          <w:rFonts w:ascii="New York" w:eastAsia="Times New Roman" w:hAnsi="New York" w:cs="Times New Roman"/>
          <w:noProof/>
          <w:sz w:val="24"/>
          <w:szCs w:val="20"/>
          <w:highlight w:val="yellow"/>
        </w:rPr>
        <mc:AlternateContent>
          <mc:Choice Requires="wps">
            <w:drawing>
              <wp:anchor distT="0" distB="0" distL="114300" distR="114300" simplePos="0" relativeHeight="251718656" behindDoc="0" locked="0" layoutInCell="1" allowOverlap="1" wp14:anchorId="08F29DF6" wp14:editId="5EA2A5AE">
                <wp:simplePos x="0" y="0"/>
                <wp:positionH relativeFrom="column">
                  <wp:posOffset>0</wp:posOffset>
                </wp:positionH>
                <wp:positionV relativeFrom="paragraph">
                  <wp:posOffset>0</wp:posOffset>
                </wp:positionV>
                <wp:extent cx="601980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1FAA1F" id="Straight Connector 6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0" to="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" strokecolor="#5b9bd5" strokeweight=".5pt">
                <v:stroke joinstyle="miter"/>
              </v:line>
            </w:pict>
          </mc:Fallback>
        </mc:AlternateContent>
      </w:r>
    </w:p>
    <w:p w14:paraId="1EA8881E"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5:2</w:t>
      </w:r>
      <w:r w:rsidR="00A34B63" w:rsidRPr="00BA6536">
        <w:rPr>
          <w:rFonts w:eastAsia="Times New Roman" w:cs="Times New Roman"/>
          <w:b/>
        </w:rPr>
        <w:tab/>
        <w:t>Refer persons with complaints of housing discrimination to appropriate agencies such as IMACA, the Department of Social Services, or the district office of the Department of Fair Employment and Housing.</w:t>
      </w:r>
    </w:p>
    <w:p w14:paraId="427AA923"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Mono County Housing Authority.</w:t>
      </w:r>
    </w:p>
    <w:p w14:paraId="76B76D11" w14:textId="77777777" w:rsidR="00A34B63" w:rsidRPr="00BA6536" w:rsidRDefault="00A34B63" w:rsidP="00A34B63">
      <w:pPr>
        <w:tabs>
          <w:tab w:val="left" w:pos="1620"/>
        </w:tabs>
        <w:spacing w:after="0" w:line="280" w:lineRule="atLeast"/>
        <w:ind w:left="2340" w:hanging="2340"/>
        <w:rPr>
          <w:rFonts w:eastAsia="Times New Roman" w:cs="Times New Roman"/>
        </w:rPr>
      </w:pPr>
      <w:r w:rsidRPr="00BA6536">
        <w:rPr>
          <w:rFonts w:eastAsia="Times New Roman" w:cs="Times New Roman"/>
        </w:rPr>
        <w:t>Timeframe: Provide links on website by 2010; update annually.</w:t>
      </w:r>
    </w:p>
    <w:p w14:paraId="75E01EB5" w14:textId="77777777" w:rsidR="00A34B63" w:rsidRPr="00BA6536" w:rsidRDefault="00A02DFF" w:rsidP="00A34B63">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Housing discrimination complaints are forwarded to Social Services and MLH.</w:t>
      </w:r>
      <w:r w:rsidRPr="00BA6536">
        <w:rPr>
          <w:rFonts w:eastAsia="Times New Roman" w:cs="Times New Roman"/>
          <w:b/>
        </w:rPr>
        <w:t xml:space="preserve"> </w:t>
      </w:r>
    </w:p>
    <w:p w14:paraId="3206F792"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200B4C" w:rsidRPr="00BA6536">
        <w:rPr>
          <w:rFonts w:eastAsia="Times New Roman" w:cs="Times New Roman"/>
        </w:rPr>
        <w:t xml:space="preserve">Successful, Ongoing.  An average of 1 “walk-in” housing complaint per month at Mammoth County Planning Offices.  </w:t>
      </w:r>
    </w:p>
    <w:p w14:paraId="50547295" w14:textId="77777777" w:rsidR="00A34B63" w:rsidRPr="00BA6536" w:rsidRDefault="00A34B63" w:rsidP="00A34B63">
      <w:pPr>
        <w:spacing w:after="0" w:line="280" w:lineRule="atLeast"/>
        <w:jc w:val="both"/>
        <w:rPr>
          <w:rFonts w:ascii="New York" w:eastAsia="Times New Roman" w:hAnsi="New York" w:cs="Times New Roman"/>
          <w:b/>
          <w:sz w:val="24"/>
          <w:szCs w:val="24"/>
        </w:rPr>
      </w:pPr>
      <w:r w:rsidRPr="00BA6536">
        <w:rPr>
          <w:rFonts w:eastAsia="Times New Roman" w:cs="Times New Roman"/>
          <w:b/>
        </w:rPr>
        <w:t>Adjustments to Program:</w:t>
      </w:r>
      <w:r w:rsidR="00200B4C" w:rsidRPr="00BA6536">
        <w:rPr>
          <w:rFonts w:eastAsia="Times New Roman" w:cs="Times New Roman"/>
          <w:b/>
        </w:rPr>
        <w:t xml:space="preserve"> </w:t>
      </w:r>
      <w:r w:rsidR="00200B4C" w:rsidRPr="00BA6536">
        <w:rPr>
          <w:rFonts w:eastAsia="Times New Roman" w:cs="Times New Roman"/>
        </w:rPr>
        <w:t>Program will continue.</w:t>
      </w:r>
      <w:r w:rsidR="00200B4C" w:rsidRPr="00BA6536">
        <w:rPr>
          <w:rFonts w:ascii="New York" w:eastAsia="Times New Roman" w:hAnsi="New York" w:cs="Times New Roman"/>
          <w:b/>
          <w:sz w:val="24"/>
          <w:szCs w:val="24"/>
        </w:rPr>
        <w:t xml:space="preserve"> </w:t>
      </w:r>
    </w:p>
    <w:p w14:paraId="52BC901A" w14:textId="77777777" w:rsidR="00A34B63" w:rsidRPr="00BA6536" w:rsidRDefault="00A34B63" w:rsidP="00A34B63">
      <w:pPr>
        <w:spacing w:after="0" w:line="280" w:lineRule="atLeast"/>
        <w:jc w:val="both"/>
        <w:rPr>
          <w:rFonts w:ascii="New York" w:eastAsia="Times New Roman" w:hAnsi="New York" w:cs="Times New Roman"/>
          <w:b/>
          <w:sz w:val="24"/>
          <w:szCs w:val="24"/>
        </w:rPr>
      </w:pPr>
    </w:p>
    <w:p w14:paraId="26F10459" w14:textId="77777777" w:rsidR="00A34B63" w:rsidRPr="00BA6536" w:rsidRDefault="002E1FEA" w:rsidP="003D5E81">
      <w:pPr>
        <w:pStyle w:val="Heading2"/>
        <w:rPr>
          <w:rFonts w:eastAsia="Times New Roman" w:cs="Times New Roman"/>
          <w:color w:val="auto"/>
        </w:rPr>
      </w:pPr>
      <w:bookmarkStart w:id="363" w:name="_Toc383700162"/>
      <w:r>
        <w:rPr>
          <w:rFonts w:eastAsia="Times New Roman" w:cs="Times New Roman"/>
          <w:color w:val="auto"/>
        </w:rPr>
        <w:t xml:space="preserve">F. </w:t>
      </w:r>
      <w:r w:rsidR="00A34B63" w:rsidRPr="00BA6536">
        <w:rPr>
          <w:rFonts w:eastAsia="Times New Roman" w:cs="Times New Roman"/>
          <w:color w:val="auto"/>
        </w:rPr>
        <w:t>PRESERVING UNITS AT RISK OF CONVERSION TO MARKET RATE USES</w:t>
      </w:r>
      <w:bookmarkEnd w:id="363"/>
    </w:p>
    <w:p w14:paraId="07408814" w14:textId="77777777" w:rsidR="00A34B63" w:rsidRPr="00BA6536" w:rsidRDefault="00D72B24" w:rsidP="00A34B63">
      <w:pPr>
        <w:spacing w:after="0" w:line="280" w:lineRule="atLeast"/>
        <w:ind w:left="1267" w:hanging="1267"/>
        <w:jc w:val="both"/>
        <w:rPr>
          <w:rFonts w:eastAsia="Times New Roman" w:cs="Times New Roman"/>
          <w:b/>
        </w:rPr>
      </w:pPr>
      <w:r>
        <w:rPr>
          <w:rFonts w:eastAsia="Times New Roman" w:cs="Times New Roman"/>
          <w:b/>
        </w:rPr>
        <w:t>Program 6:1</w:t>
      </w:r>
      <w:r w:rsidR="00A34B63" w:rsidRPr="00BA6536">
        <w:rPr>
          <w:rFonts w:eastAsia="Times New Roman" w:cs="Times New Roman"/>
          <w:b/>
        </w:rPr>
        <w:tab/>
        <w:t>Legally restrict units intended for low-income and/or employee housing uses to those uses.</w:t>
      </w:r>
    </w:p>
    <w:p w14:paraId="51B10E27"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Planning Commission, Board of Supervisors.</w:t>
      </w:r>
    </w:p>
    <w:p w14:paraId="1078D26D" w14:textId="77777777" w:rsidR="00A34B63" w:rsidRPr="00BA6536" w:rsidRDefault="00A34B63" w:rsidP="00A34B63">
      <w:pPr>
        <w:spacing w:after="0" w:line="280" w:lineRule="atLeast"/>
        <w:jc w:val="both"/>
        <w:rPr>
          <w:rFonts w:eastAsia="Times New Roman" w:cs="Times New Roman"/>
        </w:rPr>
      </w:pPr>
      <w:r w:rsidRPr="00BA6536">
        <w:rPr>
          <w:rFonts w:eastAsia="Times New Roman" w:cs="Times New Roman"/>
        </w:rPr>
        <w:t>Timeframe:  Ongoing, 2007-2014.</w:t>
      </w:r>
    </w:p>
    <w:p w14:paraId="062D546D" w14:textId="77777777" w:rsidR="00A34B63" w:rsidRPr="00BA6536" w:rsidRDefault="00A34B63" w:rsidP="00200B4C">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Pro</w:t>
      </w:r>
      <w:r w:rsidR="00200B4C" w:rsidRPr="00BA6536">
        <w:rPr>
          <w:rFonts w:eastAsia="Times New Roman" w:cs="Times New Roman"/>
          <w:b/>
        </w:rPr>
        <w:t xml:space="preserve">gress:  </w:t>
      </w:r>
      <w:r w:rsidR="00200B4C" w:rsidRPr="00BA6536">
        <w:rPr>
          <w:rFonts w:eastAsia="Times New Roman" w:cs="Times New Roman"/>
        </w:rPr>
        <w:t xml:space="preserve">No legally </w:t>
      </w:r>
      <w:r w:rsidR="00077980" w:rsidRPr="00BA6536">
        <w:rPr>
          <w:rFonts w:eastAsia="Times New Roman" w:cs="Times New Roman"/>
        </w:rPr>
        <w:t>restricted units in unincorpora</w:t>
      </w:r>
      <w:r w:rsidR="00200B4C" w:rsidRPr="00BA6536">
        <w:rPr>
          <w:rFonts w:eastAsia="Times New Roman" w:cs="Times New Roman"/>
        </w:rPr>
        <w:t xml:space="preserve">ted county, however employer owned and agency housing generally restricted to employees.  </w:t>
      </w:r>
    </w:p>
    <w:p w14:paraId="140C8F40"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200B4C" w:rsidRPr="00BA6536">
        <w:rPr>
          <w:rFonts w:eastAsia="Times New Roman" w:cs="Times New Roman"/>
        </w:rPr>
        <w:t xml:space="preserve">Successful, Ongoing. </w:t>
      </w:r>
    </w:p>
    <w:p w14:paraId="40E03FD3" w14:textId="77777777"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Adjustments to Program:</w:t>
      </w:r>
      <w:r w:rsidR="00200B4C" w:rsidRPr="00BA6536">
        <w:rPr>
          <w:rFonts w:eastAsia="Times New Roman" w:cs="Times New Roman"/>
          <w:b/>
        </w:rPr>
        <w:t xml:space="preserve"> </w:t>
      </w:r>
      <w:r w:rsidR="00200B4C" w:rsidRPr="00BA6536">
        <w:rPr>
          <w:rFonts w:eastAsia="Times New Roman" w:cs="Times New Roman"/>
        </w:rPr>
        <w:t xml:space="preserve">Program will continue, legal status of employee units will be examined and reported.  </w:t>
      </w:r>
    </w:p>
    <w:p w14:paraId="75FD569E" w14:textId="77777777" w:rsidR="00A34B63" w:rsidRPr="00BA6536" w:rsidRDefault="00A34B63" w:rsidP="00A34B63">
      <w:pPr>
        <w:spacing w:after="0" w:line="280" w:lineRule="atLeast"/>
        <w:ind w:left="1080" w:hanging="1080"/>
        <w:jc w:val="both"/>
        <w:rPr>
          <w:rFonts w:ascii="Times New Roman" w:eastAsia="Times New Roman" w:hAnsi="Times New Roman" w:cs="Times New Roman"/>
          <w:sz w:val="24"/>
          <w:szCs w:val="20"/>
          <w:highlight w:val="yellow"/>
        </w:rPr>
      </w:pPr>
      <w:r w:rsidRPr="00BA6536">
        <w:rPr>
          <w:rFonts w:ascii="Times New Roman" w:eastAsia="Times New Roman" w:hAnsi="Times New Roman" w:cs="Times New Roman"/>
          <w:noProof/>
          <w:sz w:val="24"/>
          <w:szCs w:val="20"/>
          <w:highlight w:val="yellow"/>
        </w:rPr>
        <mc:AlternateContent>
          <mc:Choice Requires="wps">
            <w:drawing>
              <wp:anchor distT="0" distB="0" distL="114300" distR="114300" simplePos="0" relativeHeight="251720704" behindDoc="0" locked="0" layoutInCell="1" allowOverlap="1" wp14:anchorId="20BAF0B6" wp14:editId="3EB12A31">
                <wp:simplePos x="0" y="0"/>
                <wp:positionH relativeFrom="column">
                  <wp:posOffset>0</wp:posOffset>
                </wp:positionH>
                <wp:positionV relativeFrom="paragraph">
                  <wp:posOffset>-635</wp:posOffset>
                </wp:positionV>
                <wp:extent cx="60198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2434AB5" id="Straight Connector 63"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PsTKbT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12F0EADB"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6:2</w:t>
      </w:r>
      <w:r w:rsidR="00A34B63" w:rsidRPr="00BA6536">
        <w:rPr>
          <w:rFonts w:eastAsia="Times New Roman" w:cs="Times New Roman"/>
          <w:b/>
        </w:rPr>
        <w:tab/>
        <w:t>Continue to enforce regulations in the Mono County General Plan concerning the conversion of residential facilities or mobile-home spaces in a mobile-home park to other uses.</w:t>
      </w:r>
    </w:p>
    <w:p w14:paraId="3F6E85FC" w14:textId="77777777" w:rsidR="00A34B63" w:rsidRPr="00BA6536" w:rsidRDefault="00A34B63" w:rsidP="00A34B63">
      <w:pPr>
        <w:spacing w:after="0" w:line="280" w:lineRule="atLeast"/>
        <w:ind w:left="2340" w:hanging="2340"/>
        <w:jc w:val="both"/>
        <w:rPr>
          <w:rFonts w:eastAsia="Times New Roman" w:cs="Times New Roman"/>
          <w:b/>
          <w:i/>
        </w:rPr>
      </w:pPr>
      <w:r w:rsidRPr="00BA6536">
        <w:rPr>
          <w:rFonts w:eastAsia="Times New Roman" w:cs="Times New Roman"/>
        </w:rPr>
        <w:t xml:space="preserve">Responsible Agencies: </w:t>
      </w:r>
      <w:r w:rsidRPr="00BA6536">
        <w:rPr>
          <w:rFonts w:eastAsia="Times New Roman" w:cs="Times New Roman"/>
        </w:rPr>
        <w:tab/>
        <w:t>Community Development Department, Planning Commission, Board of Supervisors.</w:t>
      </w:r>
    </w:p>
    <w:p w14:paraId="0E16F7C1" w14:textId="77777777" w:rsidR="00A34B63" w:rsidRPr="00BA6536" w:rsidRDefault="00A34B63" w:rsidP="00A34B63">
      <w:pPr>
        <w:spacing w:after="0" w:line="280" w:lineRule="atLeast"/>
        <w:jc w:val="both"/>
        <w:rPr>
          <w:rFonts w:eastAsia="Times New Roman" w:cs="Times New Roman"/>
        </w:rPr>
      </w:pPr>
      <w:r w:rsidRPr="00BA6536">
        <w:rPr>
          <w:rFonts w:eastAsia="Times New Roman" w:cs="Times New Roman"/>
        </w:rPr>
        <w:t>Timeframe:  Ongoing, 2007-2014.</w:t>
      </w:r>
    </w:p>
    <w:p w14:paraId="222B6D79" w14:textId="77777777" w:rsidR="00A34B63" w:rsidRPr="00BA6536" w:rsidRDefault="00661F75" w:rsidP="00A34B63">
      <w:pPr>
        <w:tabs>
          <w:tab w:val="left" w:pos="1080"/>
          <w:tab w:val="left" w:pos="1260"/>
        </w:tabs>
        <w:spacing w:after="0" w:line="280" w:lineRule="atLeast"/>
        <w:ind w:left="2340" w:hanging="2340"/>
        <w:rPr>
          <w:rFonts w:eastAsia="Times New Roman" w:cs="Times New Roman"/>
          <w:b/>
        </w:rPr>
      </w:pPr>
      <w:r w:rsidRPr="00BA6536">
        <w:rPr>
          <w:rFonts w:eastAsia="Times New Roman" w:cs="Times New Roman"/>
          <w:b/>
        </w:rPr>
        <w:t xml:space="preserve">Progress: </w:t>
      </w:r>
      <w:r w:rsidRPr="00BA6536">
        <w:rPr>
          <w:rFonts w:eastAsia="Times New Roman" w:cs="Times New Roman"/>
        </w:rPr>
        <w:t>No conversion of mobile-home spaces has been proposed.</w:t>
      </w:r>
    </w:p>
    <w:p w14:paraId="771383EF"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Pr="00BA6536">
        <w:rPr>
          <w:rFonts w:eastAsia="Times New Roman" w:cs="Times New Roman"/>
        </w:rPr>
        <w:t xml:space="preserve"> </w:t>
      </w:r>
      <w:r w:rsidR="00661F75" w:rsidRPr="00BA6536">
        <w:rPr>
          <w:rFonts w:eastAsia="Times New Roman" w:cs="Times New Roman"/>
        </w:rPr>
        <w:t xml:space="preserve">Successful, Ongoing. </w:t>
      </w:r>
    </w:p>
    <w:p w14:paraId="42B964E1" w14:textId="77777777"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Adjustments to Program:</w:t>
      </w:r>
      <w:r w:rsidR="00661F75" w:rsidRPr="00BA6536">
        <w:rPr>
          <w:rFonts w:eastAsia="Times New Roman" w:cs="Times New Roman"/>
          <w:b/>
        </w:rPr>
        <w:t xml:space="preserve"> </w:t>
      </w:r>
      <w:r w:rsidR="00661F75" w:rsidRPr="00BA6536">
        <w:rPr>
          <w:rFonts w:eastAsia="Times New Roman" w:cs="Times New Roman"/>
        </w:rPr>
        <w:t>Program will continue.</w:t>
      </w:r>
      <w:r w:rsidR="00661F75" w:rsidRPr="00BA6536">
        <w:rPr>
          <w:rFonts w:eastAsia="Times New Roman" w:cs="Times New Roman"/>
          <w:b/>
        </w:rPr>
        <w:t xml:space="preserve"> </w:t>
      </w:r>
    </w:p>
    <w:p w14:paraId="5D5FEBB8" w14:textId="77777777" w:rsidR="00A34B63" w:rsidRPr="00BA6536" w:rsidRDefault="00A34B63" w:rsidP="00A34B63">
      <w:pPr>
        <w:spacing w:after="0" w:line="280" w:lineRule="atLeast"/>
        <w:jc w:val="both"/>
        <w:rPr>
          <w:rFonts w:ascii="Times New Roman" w:eastAsia="Times New Roman" w:hAnsi="Times New Roman" w:cs="Times New Roman"/>
          <w:sz w:val="24"/>
          <w:szCs w:val="20"/>
          <w:highlight w:val="yellow"/>
        </w:rPr>
      </w:pPr>
      <w:r w:rsidRPr="00BA6536">
        <w:rPr>
          <w:rFonts w:ascii="New York" w:eastAsia="Times New Roman" w:hAnsi="New York" w:cs="Times New Roman"/>
          <w:noProof/>
          <w:sz w:val="24"/>
          <w:szCs w:val="20"/>
          <w:highlight w:val="yellow"/>
        </w:rPr>
        <mc:AlternateContent>
          <mc:Choice Requires="wps">
            <w:drawing>
              <wp:anchor distT="0" distB="0" distL="114300" distR="114300" simplePos="0" relativeHeight="251721728" behindDoc="0" locked="0" layoutInCell="1" allowOverlap="1" wp14:anchorId="2DAC7CDC" wp14:editId="4D3EBC58">
                <wp:simplePos x="0" y="0"/>
                <wp:positionH relativeFrom="column">
                  <wp:posOffset>0</wp:posOffset>
                </wp:positionH>
                <wp:positionV relativeFrom="paragraph">
                  <wp:posOffset>-635</wp:posOffset>
                </wp:positionV>
                <wp:extent cx="6019800"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0C89F91" id="Straight Connector 6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" strokecolor="#5b9bd5" strokeweight=".5pt">
                <v:stroke joinstyle="miter"/>
              </v:line>
            </w:pict>
          </mc:Fallback>
        </mc:AlternateContent>
      </w:r>
    </w:p>
    <w:p w14:paraId="43E2E5D5" w14:textId="77777777" w:rsidR="00A34B63" w:rsidRPr="00BA6536" w:rsidRDefault="00D72B24" w:rsidP="00A34B63">
      <w:pPr>
        <w:spacing w:after="0" w:line="280" w:lineRule="atLeast"/>
        <w:ind w:left="1260" w:hanging="1260"/>
        <w:jc w:val="both"/>
        <w:rPr>
          <w:rFonts w:eastAsia="Times New Roman" w:cs="Times New Roman"/>
          <w:b/>
        </w:rPr>
      </w:pPr>
      <w:r>
        <w:rPr>
          <w:rFonts w:eastAsia="Times New Roman" w:cs="Times New Roman"/>
          <w:b/>
        </w:rPr>
        <w:t>Program 6:3</w:t>
      </w:r>
      <w:r w:rsidR="00A34B63" w:rsidRPr="00BA6536">
        <w:rPr>
          <w:rFonts w:eastAsia="Times New Roman" w:cs="Times New Roman"/>
          <w:b/>
        </w:rPr>
        <w:tab/>
        <w:t>Provide incentives for property owners to participate in state or federally funded rental assistance or subsidy programs. These incentives may include fee reductions, administrative (grant) assistance, and streamlined permit processing for rehabilitations.</w:t>
      </w:r>
    </w:p>
    <w:p w14:paraId="7297FD1C"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Responsible Agencies:</w:t>
      </w:r>
      <w:r w:rsidRPr="00BA6536">
        <w:rPr>
          <w:rFonts w:eastAsia="Times New Roman" w:cs="Times New Roman"/>
        </w:rPr>
        <w:tab/>
        <w:t>Community Development Department, Planning Commission.</w:t>
      </w:r>
    </w:p>
    <w:p w14:paraId="4BD6081E" w14:textId="77777777" w:rsidR="00A34B63" w:rsidRPr="00BA6536" w:rsidRDefault="00A34B63" w:rsidP="00A34B63">
      <w:pPr>
        <w:spacing w:after="0" w:line="280" w:lineRule="atLeast"/>
        <w:ind w:left="2340" w:hanging="2340"/>
        <w:jc w:val="both"/>
        <w:rPr>
          <w:rFonts w:eastAsia="Times New Roman" w:cs="Times New Roman"/>
        </w:rPr>
      </w:pPr>
      <w:r w:rsidRPr="00BA6536">
        <w:rPr>
          <w:rFonts w:eastAsia="Times New Roman" w:cs="Times New Roman"/>
        </w:rPr>
        <w:t>Timeframe:  Ongoing, 2007-2014.</w:t>
      </w:r>
    </w:p>
    <w:p w14:paraId="6D0244EE" w14:textId="77777777" w:rsidR="00A34B63" w:rsidRPr="00BA6536" w:rsidRDefault="00A34B63" w:rsidP="00D323F2">
      <w:pPr>
        <w:tabs>
          <w:tab w:val="left" w:pos="1080"/>
          <w:tab w:val="left" w:pos="1260"/>
        </w:tabs>
        <w:spacing w:after="0" w:line="280" w:lineRule="atLeast"/>
        <w:ind w:left="990" w:hanging="990"/>
        <w:rPr>
          <w:rFonts w:eastAsia="Times New Roman" w:cs="Times New Roman"/>
        </w:rPr>
      </w:pPr>
      <w:r w:rsidRPr="00BA6536">
        <w:rPr>
          <w:rFonts w:eastAsia="Times New Roman" w:cs="Times New Roman"/>
          <w:b/>
        </w:rPr>
        <w:t xml:space="preserve">Progress:  </w:t>
      </w:r>
      <w:r w:rsidR="00661F75" w:rsidRPr="00BA6536">
        <w:rPr>
          <w:rFonts w:eastAsia="Times New Roman" w:cs="Times New Roman"/>
        </w:rPr>
        <w:t xml:space="preserve">CDD financial staff has been made available to help property owners with state and federal programs.  </w:t>
      </w:r>
    </w:p>
    <w:p w14:paraId="0B1B5D18" w14:textId="77777777" w:rsidR="00A34B63" w:rsidRPr="00BA6536" w:rsidRDefault="00A34B63" w:rsidP="00A34B63">
      <w:pPr>
        <w:tabs>
          <w:tab w:val="left" w:pos="1080"/>
          <w:tab w:val="left" w:pos="1260"/>
        </w:tabs>
        <w:spacing w:after="0" w:line="280" w:lineRule="atLeast"/>
        <w:ind w:left="1080" w:hanging="1080"/>
        <w:rPr>
          <w:rFonts w:eastAsia="Times New Roman" w:cs="Times New Roman"/>
        </w:rPr>
      </w:pPr>
      <w:r w:rsidRPr="00BA6536">
        <w:rPr>
          <w:rFonts w:eastAsia="Times New Roman" w:cs="Times New Roman"/>
          <w:b/>
        </w:rPr>
        <w:t>Effectiveness:</w:t>
      </w:r>
      <w:r w:rsidR="00661F75" w:rsidRPr="00BA6536">
        <w:rPr>
          <w:rFonts w:eastAsia="Times New Roman" w:cs="Times New Roman"/>
        </w:rPr>
        <w:t xml:space="preserve"> Successful, Ongoing. </w:t>
      </w:r>
    </w:p>
    <w:p w14:paraId="33CF144C" w14:textId="77777777" w:rsidR="00A34B63" w:rsidRPr="00BA6536" w:rsidRDefault="00A34B63" w:rsidP="00A34B63">
      <w:pPr>
        <w:spacing w:after="0" w:line="280" w:lineRule="atLeast"/>
        <w:jc w:val="both"/>
        <w:rPr>
          <w:rFonts w:eastAsia="Times New Roman" w:cs="Times New Roman"/>
        </w:rPr>
      </w:pPr>
      <w:r w:rsidRPr="00BA6536">
        <w:rPr>
          <w:rFonts w:eastAsia="Times New Roman" w:cs="Times New Roman"/>
          <w:b/>
        </w:rPr>
        <w:t>Adjustments to Program:</w:t>
      </w:r>
      <w:r w:rsidR="00661F75" w:rsidRPr="00BA6536">
        <w:rPr>
          <w:rFonts w:eastAsia="Times New Roman" w:cs="Times New Roman"/>
          <w:b/>
        </w:rPr>
        <w:t xml:space="preserve"> </w:t>
      </w:r>
      <w:r w:rsidR="00661F75" w:rsidRPr="00BA6536">
        <w:rPr>
          <w:rFonts w:eastAsia="Times New Roman" w:cs="Times New Roman"/>
        </w:rPr>
        <w:t>Program will continue.</w:t>
      </w:r>
      <w:r w:rsidR="00661F75" w:rsidRPr="00BA6536">
        <w:rPr>
          <w:rFonts w:eastAsia="Times New Roman" w:cs="Times New Roman"/>
          <w:b/>
        </w:rPr>
        <w:t xml:space="preserve"> </w:t>
      </w:r>
    </w:p>
    <w:p w14:paraId="2A4A7264" w14:textId="77777777" w:rsidR="00A34B63" w:rsidRPr="00BA6536" w:rsidRDefault="00A34B63" w:rsidP="00A34B63">
      <w:pPr>
        <w:spacing w:after="0" w:line="240" w:lineRule="auto"/>
        <w:rPr>
          <w:rFonts w:ascii="New York" w:eastAsia="Times New Roman" w:hAnsi="New York" w:cs="Times New Roman"/>
          <w:sz w:val="24"/>
          <w:szCs w:val="20"/>
        </w:rPr>
      </w:pPr>
      <w:r w:rsidRPr="00BA6536">
        <w:rPr>
          <w:rFonts w:ascii="New York" w:eastAsia="Times New Roman" w:hAnsi="New York" w:cs="Times New Roman"/>
          <w:noProof/>
          <w:sz w:val="24"/>
          <w:szCs w:val="20"/>
          <w:highlight w:val="yellow"/>
        </w:rPr>
        <mc:AlternateContent>
          <mc:Choice Requires="wps">
            <w:drawing>
              <wp:anchor distT="0" distB="0" distL="114300" distR="114300" simplePos="0" relativeHeight="251722752" behindDoc="0" locked="0" layoutInCell="1" allowOverlap="1" wp14:anchorId="7ACC4D30" wp14:editId="0ABA26BF">
                <wp:simplePos x="0" y="0"/>
                <wp:positionH relativeFrom="column">
                  <wp:posOffset>0</wp:posOffset>
                </wp:positionH>
                <wp:positionV relativeFrom="paragraph">
                  <wp:posOffset>-635</wp:posOffset>
                </wp:positionV>
                <wp:extent cx="601980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6019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A0B8D13" id="Straight Connector 6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05pt" to="4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" strokecolor="#5b9bd5" strokeweight=".5pt">
                <v:stroke joinstyle="miter"/>
              </v:line>
            </w:pict>
          </mc:Fallback>
        </mc:AlternateContent>
      </w:r>
    </w:p>
    <w:p w14:paraId="05132473" w14:textId="77777777" w:rsidR="003359B5" w:rsidRPr="00BA6536" w:rsidRDefault="003D5E81" w:rsidP="003D5E81">
      <w:pPr>
        <w:pStyle w:val="Heading1"/>
        <w:rPr>
          <w:rFonts w:eastAsia="Times New Roman" w:cs="ArialMT"/>
          <w:color w:val="auto"/>
          <w:lang w:bidi="en-US"/>
        </w:rPr>
      </w:pPr>
      <w:bookmarkStart w:id="364" w:name="_Toc383700163"/>
      <w:r w:rsidRPr="00BA6536">
        <w:rPr>
          <w:rFonts w:eastAsia="Times New Roman" w:cs="ArialMT"/>
          <w:color w:val="auto"/>
          <w:lang w:bidi="en-US"/>
        </w:rPr>
        <w:t>5</w:t>
      </w:r>
      <w:r w:rsidR="003359B5" w:rsidRPr="00BA6536">
        <w:rPr>
          <w:rFonts w:eastAsia="Times New Roman" w:cs="ArialMT"/>
          <w:color w:val="auto"/>
          <w:lang w:bidi="en-US"/>
        </w:rPr>
        <w:t>. SUMMARY OF CONCLUSIONS</w:t>
      </w:r>
      <w:bookmarkEnd w:id="364"/>
    </w:p>
    <w:p w14:paraId="4A69F325" w14:textId="77777777" w:rsidR="005E6918" w:rsidRPr="00BA6536" w:rsidRDefault="005E6918" w:rsidP="005E6918">
      <w:pPr>
        <w:spacing w:after="0" w:line="280" w:lineRule="atLeast"/>
        <w:jc w:val="both"/>
        <w:rPr>
          <w:rFonts w:ascii="Tahoma" w:eastAsia="Times New Roman" w:hAnsi="Tahoma" w:cs="Times New Roman"/>
          <w:b/>
          <w:sz w:val="28"/>
          <w:szCs w:val="20"/>
        </w:rPr>
      </w:pPr>
    </w:p>
    <w:p w14:paraId="5DA1A217" w14:textId="77777777" w:rsidR="005E6918" w:rsidRPr="00BA6536" w:rsidRDefault="002E1FEA" w:rsidP="003D5E81">
      <w:pPr>
        <w:pStyle w:val="Heading3"/>
      </w:pPr>
      <w:bookmarkStart w:id="365" w:name="_Toc383700164"/>
      <w:r>
        <w:t xml:space="preserve">a. </w:t>
      </w:r>
      <w:r w:rsidR="005E6918" w:rsidRPr="00BA6536">
        <w:t>SUMMARY OVERVIEW</w:t>
      </w:r>
      <w:bookmarkEnd w:id="365"/>
      <w:r w:rsidR="005E6918" w:rsidRPr="00BA6536">
        <w:fldChar w:fldCharType="begin"/>
      </w:r>
      <w:r w:rsidR="005E6918" w:rsidRPr="00BA6536">
        <w:instrText xml:space="preserve"> TC"</w:instrText>
      </w:r>
      <w:bookmarkStart w:id="366" w:name="_Toc53806488"/>
      <w:bookmarkStart w:id="367" w:name="_Toc66156080"/>
      <w:bookmarkStart w:id="368" w:name="_Toc76444002"/>
      <w:bookmarkStart w:id="369" w:name="_Toc123887147"/>
      <w:r w:rsidR="005E6918" w:rsidRPr="00BA6536">
        <w:instrText>Summary Overview</w:instrText>
      </w:r>
      <w:bookmarkEnd w:id="366"/>
      <w:bookmarkEnd w:id="367"/>
      <w:bookmarkEnd w:id="368"/>
      <w:bookmarkEnd w:id="369"/>
      <w:r w:rsidR="005E6918" w:rsidRPr="00BA6536">
        <w:instrText xml:space="preserve">"\l 2 </w:instrText>
      </w:r>
      <w:r w:rsidR="005E6918" w:rsidRPr="00BA6536">
        <w:fldChar w:fldCharType="end"/>
      </w:r>
    </w:p>
    <w:p w14:paraId="1CD4296B"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Housing element law essentially consists of two main components guiding the preparation of the Housing Element: analysis of housing needs, resources and constraints, etc. (Government Code Section 65583(a) and housing programs (Government Code Section 655/83(c). A meaningful housing element strongly reflects a community’s needs by drawing a tight connection between the analysis of housing needs and the development of housing programs to address those needs. </w:t>
      </w:r>
    </w:p>
    <w:p w14:paraId="1245B847" w14:textId="77777777" w:rsidR="005E6918" w:rsidRPr="00BA6536" w:rsidRDefault="005E6918" w:rsidP="005E6918">
      <w:pPr>
        <w:spacing w:after="0" w:line="280" w:lineRule="atLeast"/>
        <w:jc w:val="both"/>
        <w:rPr>
          <w:rFonts w:eastAsia="Times New Roman" w:cs="Times New Roman"/>
        </w:rPr>
      </w:pPr>
    </w:p>
    <w:p w14:paraId="17BB3D6F"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This section summarizes housing needs, resources and constraints for the unincorporated area of Mono County and develops priorities for program actions and strategies.</w:t>
      </w:r>
    </w:p>
    <w:p w14:paraId="0530834D" w14:textId="77777777" w:rsidR="005E6918" w:rsidRPr="00BA6536" w:rsidRDefault="005E6918" w:rsidP="005E6918">
      <w:pPr>
        <w:spacing w:after="0" w:line="280" w:lineRule="atLeast"/>
        <w:jc w:val="both"/>
        <w:rPr>
          <w:rFonts w:eastAsia="Times New Roman" w:cs="Times New Roman"/>
        </w:rPr>
      </w:pPr>
    </w:p>
    <w:p w14:paraId="3129C863" w14:textId="77777777" w:rsidR="005E6918" w:rsidRPr="00BA6536" w:rsidRDefault="002E1FEA" w:rsidP="003D5E81">
      <w:pPr>
        <w:pStyle w:val="Heading3"/>
      </w:pPr>
      <w:bookmarkStart w:id="370" w:name="_Toc383700165"/>
      <w:r>
        <w:t xml:space="preserve">b. </w:t>
      </w:r>
      <w:r w:rsidR="005E6918" w:rsidRPr="00BA6536">
        <w:t>Population Characteristics</w:t>
      </w:r>
      <w:bookmarkEnd w:id="370"/>
      <w:r w:rsidR="005E6918" w:rsidRPr="00BA6536">
        <w:fldChar w:fldCharType="begin"/>
      </w:r>
      <w:r w:rsidR="005E6918" w:rsidRPr="00BA6536">
        <w:instrText xml:space="preserve"> TC"</w:instrText>
      </w:r>
      <w:bookmarkStart w:id="371" w:name="_Toc66156081"/>
      <w:bookmarkStart w:id="372" w:name="_Toc76444003"/>
      <w:bookmarkStart w:id="373" w:name="_Toc123887148"/>
      <w:r w:rsidR="005E6918" w:rsidRPr="00BA6536">
        <w:instrText>Population Characteristics</w:instrText>
      </w:r>
      <w:bookmarkEnd w:id="371"/>
      <w:bookmarkEnd w:id="372"/>
      <w:bookmarkEnd w:id="373"/>
      <w:r w:rsidR="005E6918" w:rsidRPr="00BA6536">
        <w:instrText xml:space="preserve">"\l 2 </w:instrText>
      </w:r>
      <w:r w:rsidR="005E6918" w:rsidRPr="00BA6536">
        <w:fldChar w:fldCharType="end"/>
      </w:r>
    </w:p>
    <w:p w14:paraId="2AF94646" w14:textId="77777777" w:rsidR="005E6918" w:rsidRPr="00BA6536" w:rsidRDefault="005E6918" w:rsidP="005E6918">
      <w:pPr>
        <w:spacing w:after="0" w:line="280" w:lineRule="atLeast"/>
        <w:jc w:val="both"/>
        <w:rPr>
          <w:rFonts w:eastAsia="Times New Roman" w:cs="Times New Roman"/>
        </w:rPr>
      </w:pPr>
    </w:p>
    <w:p w14:paraId="3809A9C5"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Population Growth</w:t>
      </w:r>
    </w:p>
    <w:p w14:paraId="65C2C933"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Population growth in the unincorporated areas of Mono County was rapid from 1980 until 2000, when it slowed considerably.  In recent years, the growth rate in the unincorporated area has  remained steady.  Population growth in the unincorporated areas is anticipated to continue, due to the continuing need for low- to moderate-income housing for workers and professionals employed in the County and the higher cost of living in the Town of Mammoth Lakes.</w:t>
      </w:r>
    </w:p>
    <w:p w14:paraId="7CAD932C" w14:textId="77777777" w:rsidR="005E6918" w:rsidRPr="00BA6536" w:rsidRDefault="005E6918" w:rsidP="005E6918">
      <w:pPr>
        <w:spacing w:after="0" w:line="280" w:lineRule="atLeast"/>
        <w:ind w:right="80"/>
        <w:jc w:val="both"/>
        <w:rPr>
          <w:rFonts w:eastAsia="Times New Roman" w:cs="Times New Roman"/>
        </w:rPr>
      </w:pPr>
    </w:p>
    <w:p w14:paraId="29F40389" w14:textId="77777777" w:rsidR="005E6918" w:rsidRPr="00BA6536" w:rsidRDefault="005E6918" w:rsidP="005E6918">
      <w:pPr>
        <w:spacing w:after="0" w:line="280" w:lineRule="atLeast"/>
        <w:ind w:right="80"/>
        <w:jc w:val="both"/>
        <w:rPr>
          <w:rFonts w:eastAsia="Times New Roman" w:cs="Times New Roman"/>
        </w:rPr>
      </w:pPr>
      <w:r w:rsidRPr="00BA6536">
        <w:rPr>
          <w:rFonts w:eastAsia="Times New Roman" w:cs="Times New Roman"/>
        </w:rPr>
        <w:t xml:space="preserve">Population growth is anticipated to continue in the Long Valley and Wheeler Crest areas due to the resort growth in Mammoth Lakes and the associated need for low- to moderate-income housing. Population growth may also occur in the Tri-Valley area due to increased housing pressure from the Bishop area and the Antelope Valley due to increased pressure from Nevada. </w:t>
      </w:r>
    </w:p>
    <w:p w14:paraId="11385EB0" w14:textId="77777777" w:rsidR="005E6918" w:rsidRPr="00BA6536" w:rsidRDefault="005E6918" w:rsidP="005E6918">
      <w:pPr>
        <w:spacing w:after="0" w:line="280" w:lineRule="atLeast"/>
        <w:jc w:val="both"/>
        <w:rPr>
          <w:rFonts w:eastAsia="Times New Roman" w:cs="Times New Roman"/>
        </w:rPr>
      </w:pPr>
    </w:p>
    <w:p w14:paraId="3A953717"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Ethnicity</w:t>
      </w:r>
    </w:p>
    <w:p w14:paraId="096F4D31"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population in the unincorporated area of Mono County remains predominantly white (76.1 percent of the population), with 16.6 percent Hispanic,  3.5 percent American Indian and the remainder other races.</w:t>
      </w:r>
    </w:p>
    <w:p w14:paraId="0DF1107E" w14:textId="77777777" w:rsidR="005E6918" w:rsidRPr="00BA6536" w:rsidRDefault="005E6918" w:rsidP="005E6918">
      <w:pPr>
        <w:spacing w:after="0" w:line="280" w:lineRule="atLeast"/>
        <w:jc w:val="both"/>
        <w:rPr>
          <w:rFonts w:eastAsia="Times New Roman" w:cs="Times New Roman"/>
        </w:rPr>
      </w:pPr>
    </w:p>
    <w:p w14:paraId="74127462"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 percentage of the population identifying themselves as Hispanic or Latino, , rose y between 2000 and 2010 from 12.4 to 16.6 percent. This population is fairly evenly distributed throughout the County's communities. </w:t>
      </w:r>
    </w:p>
    <w:p w14:paraId="0307BFCD"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State Department of Finance is projecting that the Hispanic population in the County will rise dramatically over the next twenty years, to 30.7 percent of the total County population in 2020 and 42.9 percent of the total in 2060.  The rise in the Hispanic population could impact housing in the unincorporated area, as many of the Hispanic population tend to be lower paid service workers in need of low- to moderate-income housing.</w:t>
      </w:r>
    </w:p>
    <w:p w14:paraId="5B55DA09" w14:textId="77777777" w:rsidR="005E6918" w:rsidRPr="00BA6536" w:rsidRDefault="005E6918" w:rsidP="005E6918">
      <w:pPr>
        <w:spacing w:after="0" w:line="280" w:lineRule="atLeast"/>
        <w:jc w:val="both"/>
        <w:rPr>
          <w:rFonts w:eastAsia="Times New Roman" w:cs="Times New Roman"/>
        </w:rPr>
      </w:pPr>
    </w:p>
    <w:p w14:paraId="079A7ED1"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Age</w:t>
      </w:r>
    </w:p>
    <w:p w14:paraId="4CFFBF7D"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median age in the unincorporated area continued to increase from 33 in 1990 to 40.1 in 2000 to approximately 45.2 in 2010.. The number of seniors 65 years and older increased from 12 percent in 2000 to 14.2 percent in 2010.</w:t>
      </w:r>
    </w:p>
    <w:p w14:paraId="0A61F4A8" w14:textId="77777777" w:rsidR="005E6918" w:rsidRPr="00BA6536" w:rsidRDefault="005E6918" w:rsidP="005E6918">
      <w:pPr>
        <w:spacing w:after="0" w:line="280" w:lineRule="atLeast"/>
        <w:jc w:val="both"/>
        <w:rPr>
          <w:rFonts w:eastAsia="Times New Roman" w:cs="Times New Roman"/>
        </w:rPr>
      </w:pPr>
    </w:p>
    <w:p w14:paraId="6AF38721"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Coleville had the highest percentage of children under age 18, due to the Marine Corps housing. Antelope Valley also had the highest percentage of seniors 65 years and older. The Long Valley/Wheeler Crest and Tri-Valley planning areas also had high percentages of children under age 5 and seniors 65 years and older. </w:t>
      </w:r>
    </w:p>
    <w:p w14:paraId="1B93DC60" w14:textId="77777777" w:rsidR="005E6918" w:rsidRPr="00BA6536" w:rsidRDefault="005E6918" w:rsidP="005E6918">
      <w:pPr>
        <w:spacing w:after="0" w:line="280" w:lineRule="atLeast"/>
        <w:ind w:left="360"/>
        <w:jc w:val="both"/>
        <w:rPr>
          <w:rFonts w:eastAsia="Times New Roman" w:cs="Times New Roman"/>
        </w:rPr>
      </w:pPr>
    </w:p>
    <w:p w14:paraId="127A0B32" w14:textId="77777777" w:rsidR="003359B5"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 State Department of Finance is projecting that the population in the County will age over the next twenty years, with the percent of the total County population that is elderly (65 years and over) rising from 14.2 percent in 2010 to 18.2 percent of the total in 2060.  </w:t>
      </w:r>
    </w:p>
    <w:p w14:paraId="6F0C391B" w14:textId="77777777" w:rsidR="005E6918" w:rsidRPr="00BA6536" w:rsidRDefault="005E6918" w:rsidP="005E6918">
      <w:pPr>
        <w:spacing w:after="0" w:line="280" w:lineRule="atLeast"/>
        <w:jc w:val="both"/>
        <w:rPr>
          <w:rFonts w:eastAsia="Times New Roman" w:cs="Times New Roman"/>
        </w:rPr>
      </w:pPr>
    </w:p>
    <w:p w14:paraId="42F7A6A3" w14:textId="77777777" w:rsidR="005E6918" w:rsidRPr="00BA6536" w:rsidRDefault="002E1FEA" w:rsidP="00931B2E">
      <w:pPr>
        <w:pStyle w:val="Heading4"/>
      </w:pPr>
      <w:bookmarkStart w:id="374" w:name="_Toc383700166"/>
      <w:r>
        <w:t xml:space="preserve">c. </w:t>
      </w:r>
      <w:r w:rsidR="005E6918" w:rsidRPr="00BA6536">
        <w:t>KEY FINDINGS – POPULATION</w:t>
      </w:r>
      <w:bookmarkEnd w:id="374"/>
    </w:p>
    <w:p w14:paraId="31C08F5C" w14:textId="77777777" w:rsidR="005E6918" w:rsidRPr="00BA6536" w:rsidRDefault="005E6918" w:rsidP="005E6918">
      <w:pPr>
        <w:spacing w:after="0" w:line="280" w:lineRule="atLeast"/>
        <w:jc w:val="both"/>
        <w:rPr>
          <w:rFonts w:eastAsia="Times New Roman" w:cs="Times New Roman"/>
        </w:rPr>
      </w:pPr>
    </w:p>
    <w:p w14:paraId="43489596"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Population in the unincorporated area is continuing to grow but at a slower rate than in the past.</w:t>
      </w:r>
    </w:p>
    <w:p w14:paraId="529F7B2D"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Population pressures are strong in Long Valley/Wheeler Crest and Tri-Valley (particularly Chalfant). Much of the population pressure is a result of continued resort growth in Mammoth Lakes and the associated need for low- to moderate-income housing.</w:t>
      </w:r>
    </w:p>
    <w:p w14:paraId="4B454577" w14:textId="77777777" w:rsidR="005E6918" w:rsidRPr="00BA6536" w:rsidRDefault="005E6918" w:rsidP="005E6918">
      <w:pPr>
        <w:spacing w:after="0" w:line="280" w:lineRule="atLeast"/>
        <w:jc w:val="both"/>
        <w:rPr>
          <w:rFonts w:eastAsia="Times New Roman" w:cs="Times New Roman"/>
        </w:rPr>
      </w:pPr>
    </w:p>
    <w:p w14:paraId="3B86B116"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Hispanic population is growing throughout the County.</w:t>
      </w:r>
    </w:p>
    <w:p w14:paraId="39445E14" w14:textId="77777777" w:rsidR="005E6918" w:rsidRPr="00BA6536" w:rsidRDefault="005E6918" w:rsidP="005E6918">
      <w:pPr>
        <w:spacing w:after="0" w:line="280" w:lineRule="atLeast"/>
        <w:jc w:val="both"/>
        <w:rPr>
          <w:rFonts w:eastAsia="Times New Roman" w:cs="Times New Roman"/>
        </w:rPr>
      </w:pPr>
    </w:p>
    <w:p w14:paraId="0ED9EAE1"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population in the unincorporated area is aging.</w:t>
      </w:r>
    </w:p>
    <w:p w14:paraId="59146366" w14:textId="77777777" w:rsidR="005E6918" w:rsidRPr="00BA6536" w:rsidRDefault="005E6918" w:rsidP="005E6918">
      <w:pPr>
        <w:spacing w:after="0" w:line="280" w:lineRule="atLeast"/>
        <w:jc w:val="both"/>
        <w:rPr>
          <w:rFonts w:ascii="Tahoma" w:eastAsia="Times New Roman" w:hAnsi="Tahoma" w:cs="Times New Roman"/>
          <w:b/>
          <w:sz w:val="28"/>
          <w:szCs w:val="20"/>
        </w:rPr>
      </w:pPr>
    </w:p>
    <w:p w14:paraId="7E361997" w14:textId="77777777" w:rsidR="005E6918" w:rsidRPr="00BA6536" w:rsidRDefault="005E6918" w:rsidP="00931B2E">
      <w:pPr>
        <w:pStyle w:val="Heading3"/>
      </w:pPr>
      <w:r w:rsidRPr="00BA6536">
        <w:t xml:space="preserve">Household Characteristics </w:t>
      </w:r>
      <w:r w:rsidRPr="00BA6536">
        <w:fldChar w:fldCharType="begin"/>
      </w:r>
      <w:r w:rsidRPr="00BA6536">
        <w:instrText xml:space="preserve"> TC"</w:instrText>
      </w:r>
      <w:bookmarkStart w:id="375" w:name="_Toc66156082"/>
      <w:bookmarkStart w:id="376" w:name="_Toc76444004"/>
      <w:bookmarkStart w:id="377" w:name="_Toc123887149"/>
      <w:r w:rsidRPr="00BA6536">
        <w:instrText>Household Characteristics</w:instrText>
      </w:r>
      <w:bookmarkEnd w:id="375"/>
      <w:bookmarkEnd w:id="376"/>
      <w:bookmarkEnd w:id="377"/>
      <w:r w:rsidRPr="00BA6536">
        <w:instrText xml:space="preserve">"\l 2 </w:instrText>
      </w:r>
      <w:r w:rsidRPr="00BA6536">
        <w:fldChar w:fldCharType="end"/>
      </w:r>
    </w:p>
    <w:p w14:paraId="7C80B861" w14:textId="77777777" w:rsidR="005E6918" w:rsidRPr="00BA6536" w:rsidRDefault="005E6918" w:rsidP="005E6918">
      <w:pPr>
        <w:spacing w:after="0" w:line="280" w:lineRule="atLeast"/>
        <w:ind w:right="80"/>
        <w:jc w:val="both"/>
        <w:rPr>
          <w:rFonts w:eastAsia="Times New Roman" w:cs="Times New Roman"/>
        </w:rPr>
      </w:pPr>
    </w:p>
    <w:p w14:paraId="712E4B42" w14:textId="77777777" w:rsidR="005E6918" w:rsidRPr="00BA6536" w:rsidRDefault="005E6918" w:rsidP="005E6918">
      <w:pPr>
        <w:spacing w:after="0" w:line="280" w:lineRule="atLeast"/>
        <w:ind w:right="80"/>
        <w:jc w:val="both"/>
        <w:rPr>
          <w:rFonts w:eastAsia="Times New Roman" w:cs="Times New Roman"/>
        </w:rPr>
      </w:pPr>
      <w:r w:rsidRPr="00BA6536">
        <w:rPr>
          <w:rFonts w:eastAsia="Times New Roman" w:cs="Times New Roman"/>
        </w:rPr>
        <w:t>Household Growth</w:t>
      </w:r>
    </w:p>
    <w:p w14:paraId="180A2415" w14:textId="77777777" w:rsidR="005E6918" w:rsidRPr="00BA6536" w:rsidRDefault="005E6918" w:rsidP="005E6918">
      <w:pPr>
        <w:spacing w:after="0" w:line="280" w:lineRule="atLeast"/>
        <w:ind w:right="80"/>
        <w:jc w:val="both"/>
        <w:rPr>
          <w:rFonts w:eastAsia="Times New Roman" w:cs="Times New Roman"/>
        </w:rPr>
      </w:pPr>
      <w:r w:rsidRPr="00BA6536">
        <w:rPr>
          <w:rFonts w:eastAsia="Times New Roman" w:cs="Times New Roman"/>
        </w:rPr>
        <w:t>The number of households in unincorporated Mono County continues to increase. Average household size for the unincorporated area in Mono County decreased slightly from 2.51 in 1990 to 2.42 in 2010. Coleville had the highest average household sizes with 2.89 persons; McGee Creek and Paradise had the lowest average household sizes.</w:t>
      </w:r>
    </w:p>
    <w:p w14:paraId="5816EBE8" w14:textId="77777777" w:rsidR="005E6918" w:rsidRPr="00BA6536" w:rsidRDefault="005E6918" w:rsidP="005E6918">
      <w:pPr>
        <w:spacing w:after="0" w:line="280" w:lineRule="atLeast"/>
        <w:jc w:val="both"/>
        <w:rPr>
          <w:rFonts w:eastAsia="Times New Roman" w:cs="Times New Roman"/>
        </w:rPr>
      </w:pPr>
    </w:p>
    <w:p w14:paraId="0264F88E"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Household Tenure</w:t>
      </w:r>
    </w:p>
    <w:p w14:paraId="76A007D2" w14:textId="77777777" w:rsidR="005E6918" w:rsidRPr="00BA6536" w:rsidRDefault="005E6918" w:rsidP="005E6918">
      <w:pPr>
        <w:spacing w:after="0" w:line="280" w:lineRule="atLeast"/>
        <w:ind w:right="80"/>
        <w:jc w:val="both"/>
        <w:rPr>
          <w:rFonts w:eastAsia="Times New Roman" w:cs="Times New Roman"/>
        </w:rPr>
      </w:pPr>
      <w:r w:rsidRPr="00BA6536">
        <w:rPr>
          <w:rFonts w:eastAsia="Times New Roman" w:cs="Times New Roman"/>
        </w:rPr>
        <w:t xml:space="preserve">The overall number of renters in the unincorporated area decreased from 40 percent of all households in 1990 to 32 percent of all households in 2010. </w:t>
      </w:r>
    </w:p>
    <w:p w14:paraId="7458F1E2" w14:textId="77777777" w:rsidR="005E6918" w:rsidRPr="00BA6536" w:rsidRDefault="005E6918" w:rsidP="005E6918">
      <w:pPr>
        <w:spacing w:after="0" w:line="280" w:lineRule="atLeast"/>
        <w:jc w:val="both"/>
        <w:rPr>
          <w:rFonts w:eastAsia="Times New Roman" w:cs="Times New Roman"/>
        </w:rPr>
      </w:pPr>
    </w:p>
    <w:p w14:paraId="13445FEB"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Occupancy</w:t>
      </w:r>
    </w:p>
    <w:p w14:paraId="412074BE"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Mono County has a high vacancy rate due to the large number of vacation homes and seasonal use units in the area. In 2010, vacant seasonal units made up 32.7% of all units in the unincorporated area and much higher pe</w:t>
      </w:r>
      <w:r w:rsidR="00BA0EF6" w:rsidRPr="00BA6536">
        <w:rPr>
          <w:rFonts w:eastAsia="Times New Roman" w:cs="Times New Roman"/>
        </w:rPr>
        <w:t xml:space="preserve">rcentages in some communities. </w:t>
      </w:r>
      <w:r w:rsidRPr="00BA6536">
        <w:rPr>
          <w:rFonts w:eastAsia="Times New Roman" w:cs="Times New Roman"/>
        </w:rPr>
        <w:t xml:space="preserve">June Lake has the highest seasonal vacancy rate of 59.4%. </w:t>
      </w:r>
    </w:p>
    <w:p w14:paraId="152B639C" w14:textId="77777777" w:rsidR="005E6918" w:rsidRPr="00BA6536" w:rsidRDefault="005E6918" w:rsidP="005E6918">
      <w:pPr>
        <w:spacing w:after="0" w:line="280" w:lineRule="atLeast"/>
        <w:jc w:val="both"/>
        <w:rPr>
          <w:rFonts w:eastAsia="Times New Roman" w:cs="Times New Roman"/>
        </w:rPr>
      </w:pPr>
    </w:p>
    <w:p w14:paraId="3C990F32"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Some communities have very high percentages of owner occupied units, Paradise, Swall Meadows and McGee Creek all are over 90% owner occupied.  </w:t>
      </w:r>
    </w:p>
    <w:p w14:paraId="56E8BB7E" w14:textId="77777777" w:rsidR="005E6918" w:rsidRPr="00BA6536" w:rsidRDefault="005E6918" w:rsidP="005E6918">
      <w:pPr>
        <w:spacing w:after="0" w:line="280" w:lineRule="atLeast"/>
        <w:jc w:val="both"/>
        <w:rPr>
          <w:rFonts w:eastAsia="Times New Roman" w:cs="Times New Roman"/>
        </w:rPr>
      </w:pPr>
    </w:p>
    <w:p w14:paraId="396DB1CE"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Overcrowding</w:t>
      </w:r>
    </w:p>
    <w:p w14:paraId="404B0E4B"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An overcrowded household is a housing unit occupied by more than one person per room (not including kitchens and bathrooms). Units with more than 1.51 persons per room are considered severely overcrowded and indicate a significant housing need. </w:t>
      </w:r>
    </w:p>
    <w:p w14:paraId="1A7020A6" w14:textId="77777777" w:rsidR="005E6918" w:rsidRPr="00BA6536" w:rsidRDefault="005E6918" w:rsidP="005E6918">
      <w:pPr>
        <w:spacing w:after="0" w:line="280" w:lineRule="atLeast"/>
        <w:jc w:val="both"/>
        <w:rPr>
          <w:rFonts w:eastAsia="Times New Roman" w:cs="Times New Roman"/>
        </w:rPr>
      </w:pPr>
    </w:p>
    <w:p w14:paraId="5AA14C21"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Overcrowding is not a significant housing situation in unincorporated Mono County. In 2010, there were a total of 47 overcrowded households. Of those 47 households, 57 percent were renters. Less than 1 percent of all households in the unincorporated area were severely overcrowded in 2010. Of the 20 households identified as being severely overcrowded, all 20 were renter households.</w:t>
      </w:r>
    </w:p>
    <w:p w14:paraId="78F2874B" w14:textId="77777777" w:rsidR="005E6918" w:rsidRPr="00BA6536" w:rsidRDefault="005E6918" w:rsidP="005E6918">
      <w:pPr>
        <w:spacing w:after="0" w:line="280" w:lineRule="atLeast"/>
        <w:jc w:val="both"/>
        <w:rPr>
          <w:rFonts w:eastAsia="Times New Roman" w:cs="Times New Roman"/>
        </w:rPr>
      </w:pPr>
    </w:p>
    <w:p w14:paraId="0B3D4B60"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Extremely Low Income (ELI) Households</w:t>
      </w:r>
    </w:p>
    <w:p w14:paraId="4981508E"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Data on the number of extremely-low income households in the County are available through HUD’s Comprehensive Housing Affordability Strategy (CHAS), which utilizes census data from 2010.  According to CHAS data, in 2011, there were approximately 442 extremely-low income households in the unincorporated area, 17.4 percent of the total number of households, a large increase from 2000 when 7.5% of households were considered extremely low income.  37 percent of the extremely-low income households were renters; 63 percent were homeowners.  The households renting comprised a variety of household types, elderly, small and large related households, and small and large non-related households.  </w:t>
      </w:r>
    </w:p>
    <w:p w14:paraId="00FC37A6" w14:textId="77777777" w:rsidR="005E6918" w:rsidRPr="00BA6536" w:rsidRDefault="005E6918" w:rsidP="005E6918">
      <w:pPr>
        <w:spacing w:after="0" w:line="280" w:lineRule="atLeast"/>
        <w:jc w:val="both"/>
        <w:rPr>
          <w:rFonts w:eastAsia="Times New Roman" w:cs="Times New Roman"/>
        </w:rPr>
      </w:pPr>
    </w:p>
    <w:p w14:paraId="66EF8989"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Overpayment</w:t>
      </w:r>
    </w:p>
    <w:p w14:paraId="0E7C2963"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Households are considered to be overpaying for housing if payments for rent or mortgage are 30 percent or more of household income. The number of lower-income households (those at or below 80 percent of the median income) overpaying is of special concern. In 2010, the median household income for unincorporated Mono County was $79,600.  Of the extremely low income households, 88 percent are considered to be overpaying for housing.</w:t>
      </w:r>
    </w:p>
    <w:p w14:paraId="4C4C6706" w14:textId="77777777" w:rsidR="005E6918" w:rsidRPr="00BA6536" w:rsidRDefault="005E6918" w:rsidP="005E6918">
      <w:pPr>
        <w:spacing w:after="0" w:line="280" w:lineRule="atLeast"/>
        <w:jc w:val="both"/>
        <w:rPr>
          <w:rFonts w:eastAsia="Times New Roman" w:cs="Times New Roman"/>
        </w:rPr>
      </w:pPr>
    </w:p>
    <w:p w14:paraId="2A192387"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Disabled Persons</w:t>
      </w:r>
    </w:p>
    <w:p w14:paraId="2174BD6C" w14:textId="77777777" w:rsidR="005E6918" w:rsidRPr="00BA6536" w:rsidRDefault="005E6918" w:rsidP="005E6918">
      <w:pPr>
        <w:tabs>
          <w:tab w:val="num" w:pos="2520"/>
        </w:tabs>
        <w:spacing w:after="0" w:line="280" w:lineRule="atLeast"/>
        <w:jc w:val="both"/>
        <w:rPr>
          <w:rFonts w:eastAsia="Times New Roman" w:cs="Times New Roman"/>
        </w:rPr>
      </w:pPr>
      <w:r w:rsidRPr="00BA6536">
        <w:rPr>
          <w:rFonts w:eastAsia="Times New Roman" w:cs="Times New Roman"/>
        </w:rPr>
        <w:t>The disabled population in Mono County is not a significant portion of the total population. Several social service agencies in the area provide services to the disabled population; i.e., the Inyo Mono Association for the Handicapped (IMAH), the Inyo Mono Area Agency on Aging (IMAAA), Kern Regional Center, the Inyo Mono Advocates for Community Action (IMACA), and the Mono County Department of Social Services. Due to the large size of their service areas and the relatively small numbers of clients, their services are prescriptive in nature and needs are addressed on an individual basis. There is no need in the unincorporated area for group housing for disabled persons at this time.</w:t>
      </w:r>
    </w:p>
    <w:p w14:paraId="1693A7BC" w14:textId="77777777" w:rsidR="005E6918" w:rsidRPr="00BA6536" w:rsidRDefault="005E6918" w:rsidP="005E6918">
      <w:pPr>
        <w:tabs>
          <w:tab w:val="num" w:pos="2520"/>
        </w:tabs>
        <w:spacing w:after="0" w:line="280" w:lineRule="atLeast"/>
        <w:jc w:val="both"/>
        <w:rPr>
          <w:rFonts w:eastAsia="Times New Roman" w:cs="Times New Roman"/>
        </w:rPr>
      </w:pPr>
    </w:p>
    <w:p w14:paraId="3996A66C"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Seniors</w:t>
      </w:r>
    </w:p>
    <w:p w14:paraId="637B4FE1"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There were 845 seniors (65 years and older) in unincorporated Mono County in 2010, 14.2 percent of the total population.The home ownership rate for seniors was 95.7 percent. In addition, only 18 seniors had incomes under the poverty level in 1999. </w:t>
      </w:r>
    </w:p>
    <w:p w14:paraId="0CB451FE" w14:textId="77777777" w:rsidR="005E6918" w:rsidRPr="00BA6536" w:rsidRDefault="005E6918" w:rsidP="005E6918">
      <w:pPr>
        <w:spacing w:after="0" w:line="280" w:lineRule="atLeast"/>
        <w:jc w:val="both"/>
        <w:rPr>
          <w:rFonts w:eastAsia="Times New Roman" w:cs="Times New Roman"/>
        </w:rPr>
      </w:pPr>
    </w:p>
    <w:p w14:paraId="7CBA3C49"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Large Households</w:t>
      </w:r>
    </w:p>
    <w:p w14:paraId="0FA7B382"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Large households are defined as households with more than five persons. Overcrowding is not a significant housing situation in the unincorporated area of Mono County, with only 47 households estimated to overcrowded. Of the 47 households identified as overcrowded, 20 of those were identified as severely overcrowded. </w:t>
      </w:r>
    </w:p>
    <w:p w14:paraId="2F9E46CA" w14:textId="77777777" w:rsidR="005E6918" w:rsidRPr="00BA6536" w:rsidRDefault="005E6918" w:rsidP="005E6918">
      <w:pPr>
        <w:spacing w:after="0" w:line="280" w:lineRule="atLeast"/>
        <w:jc w:val="both"/>
        <w:rPr>
          <w:rFonts w:eastAsia="Times New Roman" w:cs="Times New Roman"/>
        </w:rPr>
      </w:pPr>
    </w:p>
    <w:p w14:paraId="660E6E93"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Large households (5 or more persons) are located throughout the County but predominantly in Antelope Valley, Long Valley and Tri-Valley. These areas have large numbers of children and teenagers. There are 502 large households countywide.</w:t>
      </w:r>
    </w:p>
    <w:p w14:paraId="52B4EA46" w14:textId="77777777" w:rsidR="005E6918" w:rsidRPr="00BA6536" w:rsidRDefault="005E6918" w:rsidP="005E6918">
      <w:pPr>
        <w:spacing w:after="0" w:line="280" w:lineRule="atLeast"/>
        <w:jc w:val="both"/>
        <w:rPr>
          <w:rFonts w:eastAsia="Times New Roman" w:cs="Times New Roman"/>
        </w:rPr>
      </w:pPr>
    </w:p>
    <w:p w14:paraId="018C565A"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Farmworker Housing</w:t>
      </w:r>
    </w:p>
    <w:p w14:paraId="7FD962C7"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While the acreage in farms in Mono County declined between 1997 and 2007, from 68,813 acres to 44,610 acres, the number of farms increased from 63 to 84. The average size of farms decreased from 1,092 acres to 531 acres; hired farm labor decreased from 121 farmworkers on 26 farms to an undisclosed number of workers on 22 farms.  </w:t>
      </w:r>
    </w:p>
    <w:p w14:paraId="51AF7350" w14:textId="77777777" w:rsidR="005E6918" w:rsidRPr="00BA6536" w:rsidRDefault="005E6918" w:rsidP="005E6918">
      <w:pPr>
        <w:spacing w:after="0" w:line="280" w:lineRule="atLeast"/>
        <w:jc w:val="both"/>
        <w:rPr>
          <w:rFonts w:eastAsia="Times New Roman" w:cs="Times New Roman"/>
        </w:rPr>
      </w:pPr>
    </w:p>
    <w:p w14:paraId="52E7B594"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Large farm owners and ranchers in the Antelope, Bridgeport and Hammil valleys hire a limited number of farmworkers and ranch hands. Housing for most of these employees is provided on site. </w:t>
      </w:r>
    </w:p>
    <w:p w14:paraId="1E2DCFBA" w14:textId="77777777" w:rsidR="005E6918" w:rsidRPr="00BA6536" w:rsidRDefault="005E6918" w:rsidP="005E6918">
      <w:pPr>
        <w:spacing w:after="0" w:line="280" w:lineRule="atLeast"/>
        <w:jc w:val="both"/>
        <w:rPr>
          <w:rFonts w:eastAsia="Times New Roman" w:cs="Times New Roman"/>
        </w:rPr>
      </w:pPr>
    </w:p>
    <w:p w14:paraId="5E86C7B1"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Female-Headed Households</w:t>
      </w:r>
    </w:p>
    <w:p w14:paraId="73A7C92F"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In unincorporated Mono County, there were 145 female-headed households in 2010. Of the 145 female-headed households, 0 were under the poverty level according to ACS data, however that number is likely underrepresented due to low sample size. . </w:t>
      </w:r>
    </w:p>
    <w:p w14:paraId="06DE01E5" w14:textId="77777777" w:rsidR="005E6918" w:rsidRPr="00BA6536" w:rsidRDefault="005E6918" w:rsidP="005E6918">
      <w:pPr>
        <w:spacing w:after="0" w:line="280" w:lineRule="atLeast"/>
        <w:jc w:val="both"/>
        <w:rPr>
          <w:rFonts w:eastAsia="Times New Roman" w:cs="Times New Roman"/>
        </w:rPr>
      </w:pPr>
    </w:p>
    <w:p w14:paraId="0DFB5E60"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Emergency Housing</w:t>
      </w:r>
    </w:p>
    <w:p w14:paraId="7F60347B"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Mono County does not have a large homeless population, largely due to the severe winter weather conditions. The Mono County Department of Social Services estimates that it has approximately one homeless assistance case per year, usually a family displaced for a short time each year. The Mono County Department of Social Services and the Inyo Mono Advocates for Community Action (IMACA) provide rental assistance and shelter for homeless persons. </w:t>
      </w:r>
    </w:p>
    <w:p w14:paraId="28CA47F3" w14:textId="77777777" w:rsidR="005E6918" w:rsidRPr="00BA6536" w:rsidRDefault="005E6918" w:rsidP="005E6918">
      <w:pPr>
        <w:spacing w:after="0" w:line="280" w:lineRule="atLeast"/>
        <w:jc w:val="both"/>
        <w:rPr>
          <w:rFonts w:eastAsia="Times New Roman" w:cs="Times New Roman"/>
        </w:rPr>
      </w:pPr>
    </w:p>
    <w:p w14:paraId="7336F317"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Mono County does not have any homeless shelters, due to the low numbers of homeless persons. In addition, the social services that are provided are not concentrated in one location, making it difficult for a homeless person to utilize them, especially since there is only limited public transportation within the County and the town of Mammoth Lakes. Current services are adequate for the needs in the area.</w:t>
      </w:r>
    </w:p>
    <w:p w14:paraId="1E18B3F1" w14:textId="77777777" w:rsidR="005E6918" w:rsidRPr="00BA6536" w:rsidRDefault="005E6918" w:rsidP="005E6918">
      <w:pPr>
        <w:spacing w:after="0" w:line="280" w:lineRule="atLeast"/>
        <w:jc w:val="both"/>
        <w:rPr>
          <w:rFonts w:eastAsia="Times New Roman" w:cs="Times New Roman"/>
        </w:rPr>
      </w:pPr>
    </w:p>
    <w:p w14:paraId="34BBDE52" w14:textId="77777777" w:rsidR="005E6918" w:rsidRPr="00BA6536" w:rsidRDefault="002E1FEA" w:rsidP="00931B2E">
      <w:pPr>
        <w:pStyle w:val="Heading4"/>
        <w:rPr>
          <w:rFonts w:cs="ArialMT"/>
          <w:lang w:bidi="en-US"/>
        </w:rPr>
      </w:pPr>
      <w:bookmarkStart w:id="378" w:name="_Toc383700167"/>
      <w:r>
        <w:rPr>
          <w:rFonts w:cs="ArialMT"/>
          <w:lang w:bidi="en-US"/>
        </w:rPr>
        <w:t xml:space="preserve">d. </w:t>
      </w:r>
      <w:r w:rsidR="005E6918" w:rsidRPr="00BA6536">
        <w:rPr>
          <w:rFonts w:cs="ArialMT"/>
          <w:lang w:bidi="en-US"/>
        </w:rPr>
        <w:t>KEY FINDINGS – HOUSEHOLDS</w:t>
      </w:r>
      <w:bookmarkEnd w:id="378"/>
    </w:p>
    <w:p w14:paraId="264CCB5A" w14:textId="77777777" w:rsidR="005E6918" w:rsidRPr="00BA6536" w:rsidRDefault="005E6918" w:rsidP="005E6918">
      <w:pPr>
        <w:spacing w:after="0" w:line="280" w:lineRule="atLeast"/>
        <w:jc w:val="both"/>
        <w:rPr>
          <w:rFonts w:eastAsia="Times New Roman" w:cs="ArialMT"/>
          <w:lang w:bidi="en-US"/>
        </w:rPr>
      </w:pPr>
    </w:p>
    <w:p w14:paraId="6B22142F"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number of households in the unincorporated area is continuing to grow as the population grows.</w:t>
      </w:r>
    </w:p>
    <w:p w14:paraId="156D3CC6" w14:textId="77777777" w:rsidR="005E6918" w:rsidRPr="00BA6536" w:rsidRDefault="005E6918" w:rsidP="005E6918">
      <w:pPr>
        <w:spacing w:after="0" w:line="280" w:lineRule="atLeast"/>
        <w:jc w:val="both"/>
        <w:rPr>
          <w:rFonts w:eastAsia="Times New Roman" w:cs="Times New Roman"/>
        </w:rPr>
      </w:pPr>
    </w:p>
    <w:p w14:paraId="1AC12869"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number of renters is decreasing.</w:t>
      </w:r>
    </w:p>
    <w:p w14:paraId="7F380B9F" w14:textId="77777777" w:rsidR="005E6918" w:rsidRPr="00BA6536" w:rsidRDefault="005E6918" w:rsidP="005E6918">
      <w:pPr>
        <w:spacing w:after="0" w:line="280" w:lineRule="atLeast"/>
        <w:jc w:val="both"/>
        <w:rPr>
          <w:rFonts w:eastAsia="Times New Roman" w:cs="Times New Roman"/>
        </w:rPr>
      </w:pPr>
    </w:p>
    <w:p w14:paraId="2422DDE8"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Average household size remains approximately the same.</w:t>
      </w:r>
    </w:p>
    <w:p w14:paraId="68A7CC98" w14:textId="77777777" w:rsidR="005E6918" w:rsidRPr="00BA6536" w:rsidRDefault="005E6918" w:rsidP="005E6918">
      <w:pPr>
        <w:spacing w:after="0" w:line="280" w:lineRule="atLeast"/>
        <w:jc w:val="both"/>
        <w:rPr>
          <w:rFonts w:eastAsia="Times New Roman" w:cs="Times New Roman"/>
        </w:rPr>
      </w:pPr>
    </w:p>
    <w:p w14:paraId="0860CFB8"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 unincorporated area continues to have a high vacancy rate due to the large number of seasonal use units throughout the County. </w:t>
      </w:r>
    </w:p>
    <w:p w14:paraId="050D79EC" w14:textId="77777777" w:rsidR="005E6918" w:rsidRPr="00BA6536" w:rsidRDefault="005E6918" w:rsidP="005E6918">
      <w:pPr>
        <w:spacing w:after="0" w:line="280" w:lineRule="atLeast"/>
        <w:jc w:val="both"/>
        <w:rPr>
          <w:rFonts w:eastAsia="Times New Roman" w:cs="Times New Roman"/>
        </w:rPr>
      </w:pPr>
    </w:p>
    <w:p w14:paraId="710B0F6C"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Overcrowding is not an issue in Mono County.</w:t>
      </w:r>
    </w:p>
    <w:p w14:paraId="505BA762" w14:textId="77777777" w:rsidR="005E6918" w:rsidRPr="00BA6536" w:rsidRDefault="005E6918" w:rsidP="005E6918">
      <w:pPr>
        <w:spacing w:after="0" w:line="280" w:lineRule="atLeast"/>
        <w:jc w:val="both"/>
        <w:rPr>
          <w:rFonts w:eastAsia="Times New Roman" w:cs="Times New Roman"/>
        </w:rPr>
      </w:pPr>
    </w:p>
    <w:p w14:paraId="67312BE6"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Overpayment occurs in Mono County, including many renters. Some households overpaying have moderate-level incomes.</w:t>
      </w:r>
    </w:p>
    <w:p w14:paraId="646DF377" w14:textId="77777777" w:rsidR="005E6918" w:rsidRPr="00BA6536" w:rsidRDefault="005E6918" w:rsidP="005E6918">
      <w:pPr>
        <w:spacing w:after="0" w:line="280" w:lineRule="atLeast"/>
        <w:jc w:val="both"/>
        <w:rPr>
          <w:rFonts w:eastAsia="Times New Roman" w:cs="Times New Roman"/>
        </w:rPr>
      </w:pPr>
    </w:p>
    <w:p w14:paraId="6921FF0F"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Affordable housing for low- and moderate-income households has been identified as the single most important housing issue throughout the County. </w:t>
      </w:r>
    </w:p>
    <w:p w14:paraId="5842D2B1" w14:textId="77777777" w:rsidR="005E6918" w:rsidRPr="00BA6536" w:rsidRDefault="005E6918" w:rsidP="005E6918">
      <w:pPr>
        <w:spacing w:after="0" w:line="280" w:lineRule="atLeast"/>
        <w:jc w:val="both"/>
        <w:rPr>
          <w:rFonts w:eastAsia="Times New Roman" w:cs="Times New Roman"/>
        </w:rPr>
      </w:pPr>
    </w:p>
    <w:p w14:paraId="1699ADE4"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Housing needs for special population groups in Mono County are not a priority concern.</w:t>
      </w:r>
    </w:p>
    <w:p w14:paraId="20B0B249" w14:textId="77777777" w:rsidR="005E6918" w:rsidRPr="00BA6536" w:rsidRDefault="005E6918" w:rsidP="005E6918">
      <w:pPr>
        <w:spacing w:after="0" w:line="280" w:lineRule="atLeast"/>
        <w:jc w:val="both"/>
        <w:rPr>
          <w:rFonts w:eastAsia="Times New Roman" w:cs="Times New Roman"/>
        </w:rPr>
      </w:pPr>
    </w:p>
    <w:p w14:paraId="35B465AC"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Disabled persons are not a significant portion of the population – their housing needs are addressed by regional social service agencies.</w:t>
      </w:r>
    </w:p>
    <w:p w14:paraId="64AD5871" w14:textId="77777777" w:rsidR="005E6918" w:rsidRPr="00BA6536" w:rsidRDefault="005E6918" w:rsidP="005E6918">
      <w:pPr>
        <w:spacing w:after="0" w:line="280" w:lineRule="atLeast"/>
        <w:jc w:val="both"/>
        <w:rPr>
          <w:rFonts w:eastAsia="Times New Roman" w:cs="Times New Roman"/>
        </w:rPr>
      </w:pPr>
    </w:p>
    <w:p w14:paraId="6926C289"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Seniors in Mono County are predominantly homeowners.</w:t>
      </w:r>
    </w:p>
    <w:p w14:paraId="0F01F9A8" w14:textId="77777777" w:rsidR="005E6918" w:rsidRPr="00BA6536" w:rsidRDefault="005E6918" w:rsidP="005E6918">
      <w:pPr>
        <w:spacing w:after="0" w:line="280" w:lineRule="atLeast"/>
        <w:jc w:val="both"/>
        <w:rPr>
          <w:rFonts w:eastAsia="Times New Roman" w:cs="Times New Roman"/>
        </w:rPr>
      </w:pPr>
    </w:p>
    <w:p w14:paraId="59D36D7C"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There are few large households and overcrowding is not a problem.</w:t>
      </w:r>
    </w:p>
    <w:p w14:paraId="1F1C0484" w14:textId="77777777" w:rsidR="005E6918" w:rsidRPr="00BA6536" w:rsidRDefault="005E6918" w:rsidP="005E6918">
      <w:pPr>
        <w:spacing w:after="0" w:line="280" w:lineRule="atLeast"/>
        <w:jc w:val="both"/>
        <w:rPr>
          <w:rFonts w:eastAsia="Times New Roman" w:cs="Times New Roman"/>
        </w:rPr>
      </w:pPr>
    </w:p>
    <w:p w14:paraId="10E606F6"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There are relatively few farmworkers and housing is generally provided for them.</w:t>
      </w:r>
    </w:p>
    <w:p w14:paraId="63A5B806" w14:textId="77777777" w:rsidR="005E6918" w:rsidRPr="00BA6536" w:rsidRDefault="005E6918" w:rsidP="005E6918">
      <w:pPr>
        <w:spacing w:after="0" w:line="280" w:lineRule="atLeast"/>
        <w:jc w:val="both"/>
        <w:rPr>
          <w:rFonts w:eastAsia="Times New Roman" w:cs="Times New Roman"/>
        </w:rPr>
      </w:pPr>
    </w:p>
    <w:p w14:paraId="6791A1E8"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number of female-headed households is decreasing slightly, and many of them have incomes above the poverty level.</w:t>
      </w:r>
    </w:p>
    <w:p w14:paraId="58FD386B" w14:textId="77777777" w:rsidR="005E6918" w:rsidRPr="00BA6536" w:rsidRDefault="005E6918" w:rsidP="005E6918">
      <w:pPr>
        <w:spacing w:after="0" w:line="280" w:lineRule="atLeast"/>
        <w:jc w:val="both"/>
        <w:rPr>
          <w:rFonts w:eastAsia="Times New Roman" w:cs="Times New Roman"/>
        </w:rPr>
      </w:pPr>
    </w:p>
    <w:p w14:paraId="056A335F"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There are no permanent emergency shelters in Mono County and generally only one or two homeless assistance cases in the unincorporated area per year.</w:t>
      </w:r>
    </w:p>
    <w:p w14:paraId="56417676" w14:textId="77777777" w:rsidR="005E6918" w:rsidRPr="00BA6536" w:rsidRDefault="005E6918" w:rsidP="005E6918">
      <w:pPr>
        <w:spacing w:after="0" w:line="280" w:lineRule="atLeast"/>
        <w:jc w:val="both"/>
        <w:rPr>
          <w:rFonts w:eastAsia="Times New Roman" w:cs="Times New Roman"/>
        </w:rPr>
      </w:pPr>
    </w:p>
    <w:p w14:paraId="286A7A7D" w14:textId="77777777" w:rsidR="005E6918" w:rsidRPr="00BA6536" w:rsidRDefault="005E6918" w:rsidP="00931B2E">
      <w:pPr>
        <w:pStyle w:val="Heading3"/>
      </w:pPr>
      <w:r w:rsidRPr="00BA6536">
        <w:t xml:space="preserve">Employment </w:t>
      </w:r>
      <w:r w:rsidRPr="00BA6536">
        <w:fldChar w:fldCharType="begin"/>
      </w:r>
      <w:r w:rsidRPr="00BA6536">
        <w:instrText xml:space="preserve"> TC"</w:instrText>
      </w:r>
      <w:bookmarkStart w:id="379" w:name="_Toc66156083"/>
      <w:bookmarkStart w:id="380" w:name="_Toc76444005"/>
      <w:bookmarkStart w:id="381" w:name="_Toc123887150"/>
      <w:r w:rsidRPr="00BA6536">
        <w:instrText>Employment</w:instrText>
      </w:r>
      <w:bookmarkEnd w:id="379"/>
      <w:bookmarkEnd w:id="380"/>
      <w:bookmarkEnd w:id="381"/>
      <w:r w:rsidRPr="00BA6536">
        <w:instrText xml:space="preserve">"\l 2 </w:instrText>
      </w:r>
      <w:r w:rsidRPr="00BA6536">
        <w:fldChar w:fldCharType="end"/>
      </w:r>
    </w:p>
    <w:p w14:paraId="17E9DD49"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Employment Trends</w:t>
      </w:r>
    </w:p>
    <w:p w14:paraId="01DB0520"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Mono County's overall employment is dominated by leisure and hospitality services, retail trade and government industries. Industry projections from the California Employment Development Department for the Eastern Sierra Region estimate that job growth in the area between 2004 and 2014 will be strongest in Leisure and Hospitality Services, Government, Retail Trade, and Trade, Transportation and Utilities.</w:t>
      </w:r>
    </w:p>
    <w:p w14:paraId="4A605AAA" w14:textId="77777777" w:rsidR="005E6918" w:rsidRPr="00BA6536" w:rsidRDefault="005E6918" w:rsidP="005E6918">
      <w:pPr>
        <w:spacing w:after="0" w:line="280" w:lineRule="atLeast"/>
        <w:jc w:val="both"/>
        <w:rPr>
          <w:rFonts w:eastAsia="Times New Roman" w:cs="Times New Roman"/>
        </w:rPr>
      </w:pPr>
    </w:p>
    <w:p w14:paraId="6D8314E2"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Employment trends for the unincorporated area vary from the County as a whole with higher percentages in agriculture, construction and mining (particularly mining), manufacturing, transportation and public utilities, and services, and lower percentages in wholesale trade, retail trade, finance, insurance, real estate and government. </w:t>
      </w:r>
    </w:p>
    <w:p w14:paraId="58C50CE0" w14:textId="77777777" w:rsidR="005E6918" w:rsidRPr="00BA6536" w:rsidRDefault="005E6918" w:rsidP="005E6918">
      <w:pPr>
        <w:spacing w:after="0" w:line="280" w:lineRule="atLeast"/>
        <w:jc w:val="both"/>
        <w:rPr>
          <w:rFonts w:eastAsia="Times New Roman" w:cs="Times New Roman"/>
        </w:rPr>
      </w:pPr>
    </w:p>
    <w:p w14:paraId="1A8BC113" w14:textId="77777777" w:rsidR="005E6918" w:rsidRPr="00BA6536" w:rsidRDefault="005E6918" w:rsidP="005E6918">
      <w:pPr>
        <w:spacing w:after="0" w:line="280" w:lineRule="atLeast"/>
        <w:jc w:val="both"/>
        <w:rPr>
          <w:rFonts w:eastAsia="Times New Roman" w:cs="Times New Roman"/>
        </w:rPr>
      </w:pPr>
    </w:p>
    <w:p w14:paraId="7E7AA541"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Income</w:t>
      </w:r>
    </w:p>
    <w:p w14:paraId="4222A706"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 overall median household income in the unincorporated area in 2010 was $79,600. The median household income varied significantly, however, throughout the County depending on the area and the age of the householder, with the southern half of the County having generally higher overall income levels.  </w:t>
      </w:r>
    </w:p>
    <w:p w14:paraId="466E671F" w14:textId="77777777" w:rsidR="005E6918" w:rsidRPr="00BA6536" w:rsidRDefault="005E6918" w:rsidP="005E6918">
      <w:pPr>
        <w:spacing w:after="0" w:line="280" w:lineRule="atLeast"/>
        <w:jc w:val="both"/>
        <w:rPr>
          <w:rFonts w:eastAsia="Times New Roman" w:cs="Times New Roman"/>
        </w:rPr>
      </w:pPr>
    </w:p>
    <w:p w14:paraId="1476F737"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Poverty</w:t>
      </w:r>
    </w:p>
    <w:p w14:paraId="32F6C27C"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The total number of persons with income below poverty level in the unincorporated area decreased from 563 in 1989 to 438 in 1999. The number of persons with income below poverty level decreased for all age groups, except 18-64 years old, which increased from 282 to 292 persons, and in all planning areas, except June Lake, which increased from 30 to 39 persons and Long Valley/Wheeler, which increased from 19 to 38 persons. ACS data for poverty has not yet been released for Mono County.</w:t>
      </w:r>
    </w:p>
    <w:p w14:paraId="3F8FF027" w14:textId="77777777" w:rsidR="005E6918" w:rsidRPr="00BA6536" w:rsidRDefault="005E6918" w:rsidP="005E6918">
      <w:pPr>
        <w:spacing w:after="0" w:line="280" w:lineRule="atLeast"/>
        <w:jc w:val="both"/>
        <w:rPr>
          <w:rFonts w:ascii="Tahoma" w:eastAsia="Times New Roman" w:hAnsi="Tahoma" w:cs="Times New Roman"/>
          <w:b/>
          <w:sz w:val="28"/>
          <w:szCs w:val="20"/>
        </w:rPr>
      </w:pPr>
    </w:p>
    <w:p w14:paraId="0FFCF198" w14:textId="77777777" w:rsidR="005E6918" w:rsidRPr="00BA6536" w:rsidRDefault="002E1FEA" w:rsidP="00931B2E">
      <w:pPr>
        <w:pStyle w:val="Heading4"/>
      </w:pPr>
      <w:bookmarkStart w:id="382" w:name="_Toc383700168"/>
      <w:r>
        <w:t xml:space="preserve">e. </w:t>
      </w:r>
      <w:r w:rsidR="005E6918" w:rsidRPr="00BA6536">
        <w:t>KEY FINDINGS – EMPLOYMENT</w:t>
      </w:r>
      <w:bookmarkEnd w:id="382"/>
    </w:p>
    <w:p w14:paraId="75CD1D7F" w14:textId="77777777" w:rsidR="005E6918" w:rsidRPr="00BA6536" w:rsidRDefault="005E6918" w:rsidP="005E6918">
      <w:pPr>
        <w:spacing w:after="0" w:line="280" w:lineRule="atLeast"/>
        <w:jc w:val="both"/>
        <w:rPr>
          <w:rFonts w:eastAsia="Times New Roman" w:cs="Times New Roman"/>
        </w:rPr>
      </w:pPr>
    </w:p>
    <w:p w14:paraId="58F183B3"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Mono County's overall employment continues to be dominated by leisure and hospitality services, retail trade and government.</w:t>
      </w:r>
    </w:p>
    <w:p w14:paraId="44565FE4" w14:textId="77777777" w:rsidR="005E6918" w:rsidRPr="00BA6536" w:rsidRDefault="005E6918" w:rsidP="005E6918">
      <w:pPr>
        <w:spacing w:after="0" w:line="280" w:lineRule="atLeast"/>
        <w:jc w:val="both"/>
        <w:rPr>
          <w:rFonts w:eastAsia="Times New Roman" w:cs="Times New Roman"/>
        </w:rPr>
      </w:pPr>
    </w:p>
    <w:p w14:paraId="40A97CF4"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Major employment centers are located in Mammoth Lakes (services, retail trade, government), June Lake (seasonal services and retail trade) and Bridgeport (government). Despite the availability of Commercial (C) and Mixed Use (MU) zoning throughout communities in the unincorporated area, it is unlikely that sufficient jobs will develop to eliminate the need for workers to commute to jobs outside their communities.</w:t>
      </w:r>
    </w:p>
    <w:p w14:paraId="412B6F49" w14:textId="77777777" w:rsidR="005E6918" w:rsidRPr="00BA6536" w:rsidRDefault="005E6918" w:rsidP="005E6918">
      <w:pPr>
        <w:spacing w:after="0" w:line="280" w:lineRule="atLeast"/>
        <w:jc w:val="both"/>
        <w:rPr>
          <w:rFonts w:eastAsia="Times New Roman" w:cs="Times New Roman"/>
        </w:rPr>
      </w:pPr>
    </w:p>
    <w:p w14:paraId="3A592AC5"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 xml:space="preserve">The overall median household income in the unincorporated area in 2010 was $79,600. The median household income varied significantly, however, throughout the County. The total number of persons and families with income below poverty level decreased between 1989 and 1999. </w:t>
      </w:r>
    </w:p>
    <w:p w14:paraId="09CAACF3" w14:textId="77777777" w:rsidR="005E6918" w:rsidRPr="00BA6536" w:rsidRDefault="005E6918" w:rsidP="005E6918">
      <w:pPr>
        <w:spacing w:after="0" w:line="280" w:lineRule="atLeast"/>
        <w:jc w:val="both"/>
        <w:rPr>
          <w:rFonts w:eastAsia="Times New Roman" w:cs="Times New Roman"/>
        </w:rPr>
      </w:pPr>
    </w:p>
    <w:p w14:paraId="3F59908A" w14:textId="77777777" w:rsidR="005E6918" w:rsidRPr="00BA6536" w:rsidRDefault="005E6918" w:rsidP="00931B2E">
      <w:pPr>
        <w:pStyle w:val="Heading3"/>
      </w:pPr>
      <w:r w:rsidRPr="00BA6536">
        <w:t xml:space="preserve">Housing Characteristics </w:t>
      </w:r>
      <w:r w:rsidRPr="00BA6536">
        <w:fldChar w:fldCharType="begin"/>
      </w:r>
      <w:r w:rsidRPr="00BA6536">
        <w:instrText xml:space="preserve"> TC"</w:instrText>
      </w:r>
      <w:bookmarkStart w:id="383" w:name="_Toc66156084"/>
      <w:bookmarkStart w:id="384" w:name="_Toc76444006"/>
      <w:bookmarkStart w:id="385" w:name="_Toc123887151"/>
      <w:r w:rsidRPr="00BA6536">
        <w:instrText>Housing Characteristics</w:instrText>
      </w:r>
      <w:bookmarkEnd w:id="383"/>
      <w:bookmarkEnd w:id="384"/>
      <w:bookmarkEnd w:id="385"/>
      <w:r w:rsidRPr="00BA6536">
        <w:instrText xml:space="preserve">"\l 2 </w:instrText>
      </w:r>
      <w:r w:rsidRPr="00BA6536">
        <w:fldChar w:fldCharType="end"/>
      </w:r>
    </w:p>
    <w:p w14:paraId="6A0AC2B1" w14:textId="77777777" w:rsidR="005E6918" w:rsidRPr="00BA6536" w:rsidRDefault="005E6918" w:rsidP="005E6918">
      <w:pPr>
        <w:spacing w:after="0" w:line="280" w:lineRule="atLeast"/>
        <w:jc w:val="both"/>
        <w:rPr>
          <w:rFonts w:eastAsia="Times New Roman" w:cs="Times New Roman"/>
        </w:rPr>
      </w:pPr>
      <w:r w:rsidRPr="00BA6536">
        <w:rPr>
          <w:rFonts w:eastAsia="Times New Roman" w:cs="Times New Roman"/>
        </w:rPr>
        <w:t>Housing Types</w:t>
      </w:r>
    </w:p>
    <w:p w14:paraId="39DBE1DC" w14:textId="77777777" w:rsidR="005E6918" w:rsidRPr="00BA6536" w:rsidRDefault="005E6918" w:rsidP="005E6918">
      <w:pPr>
        <w:tabs>
          <w:tab w:val="num" w:pos="0"/>
        </w:tabs>
        <w:spacing w:after="0" w:line="280" w:lineRule="atLeast"/>
        <w:jc w:val="both"/>
        <w:rPr>
          <w:rFonts w:eastAsia="Times New Roman" w:cs="Times New Roman"/>
        </w:rPr>
      </w:pPr>
      <w:r w:rsidRPr="00BA6536">
        <w:rPr>
          <w:rFonts w:eastAsia="Times New Roman" w:cs="Times New Roman"/>
        </w:rPr>
        <w:t xml:space="preserve">Housing in unincorporated Mono County is predominantly single-family detached units and mobile homes. Since 1990, all types of housing in the unincorporated area increased except for single-family attached units and mobile homes. During that period, multifamily units had the greatest percentage increase, with an increase of 41 percent from 1990-2010. </w:t>
      </w:r>
    </w:p>
    <w:p w14:paraId="43747B6E" w14:textId="77777777" w:rsidR="005E6918" w:rsidRPr="00BA6536" w:rsidRDefault="005E6918" w:rsidP="005E6918">
      <w:pPr>
        <w:tabs>
          <w:tab w:val="num" w:pos="0"/>
        </w:tabs>
        <w:spacing w:after="0" w:line="280" w:lineRule="atLeast"/>
        <w:jc w:val="both"/>
        <w:rPr>
          <w:rFonts w:eastAsia="Times New Roman" w:cs="Times New Roman"/>
        </w:rPr>
      </w:pPr>
    </w:p>
    <w:p w14:paraId="66B001E0" w14:textId="77777777" w:rsidR="005E6918" w:rsidRPr="00BA6536" w:rsidRDefault="005E6918" w:rsidP="005E6918">
      <w:pPr>
        <w:tabs>
          <w:tab w:val="left" w:pos="1080"/>
        </w:tabs>
        <w:spacing w:after="0" w:line="280" w:lineRule="atLeast"/>
        <w:jc w:val="both"/>
        <w:rPr>
          <w:rFonts w:eastAsia="Times New Roman" w:cs="Times New Roman"/>
        </w:rPr>
      </w:pPr>
      <w:r w:rsidRPr="00BA6536">
        <w:rPr>
          <w:rFonts w:eastAsia="Times New Roman" w:cs="Times New Roman"/>
        </w:rPr>
        <w:t>Housing Stock Conditions</w:t>
      </w:r>
    </w:p>
    <w:p w14:paraId="0944E331" w14:textId="77777777" w:rsidR="005E6918" w:rsidRPr="00BA6536" w:rsidRDefault="005E6918" w:rsidP="005E6918">
      <w:pPr>
        <w:tabs>
          <w:tab w:val="num" w:pos="0"/>
        </w:tabs>
        <w:spacing w:after="0" w:line="280" w:lineRule="atLeast"/>
        <w:jc w:val="both"/>
        <w:rPr>
          <w:rFonts w:eastAsia="Times New Roman" w:cs="Times New Roman"/>
        </w:rPr>
      </w:pPr>
      <w:r w:rsidRPr="00BA6536">
        <w:rPr>
          <w:rFonts w:eastAsia="Times New Roman" w:cs="Times New Roman"/>
        </w:rPr>
        <w:t xml:space="preserve">The Mono County Community Development Department has completed a comprehensive Housing Condition Survey for the unincorporated area of the County. In general, Mono County's housing stock is in fair to good condition. Approximately 60 percent of all housing units in the unincorporated area have been built in the past 30 years. There are areas in the County, however, where maintenance and rehabilitation of the housing stock is an issue. </w:t>
      </w:r>
    </w:p>
    <w:p w14:paraId="32CC8919" w14:textId="77777777" w:rsidR="005E6918" w:rsidRPr="00BA6536" w:rsidRDefault="005E6918" w:rsidP="005E6918">
      <w:pPr>
        <w:tabs>
          <w:tab w:val="num" w:pos="0"/>
        </w:tabs>
        <w:spacing w:after="0" w:line="280" w:lineRule="atLeast"/>
        <w:jc w:val="both"/>
        <w:rPr>
          <w:rFonts w:eastAsia="Times New Roman" w:cs="Times New Roman"/>
        </w:rPr>
      </w:pPr>
    </w:p>
    <w:p w14:paraId="6BB443B2" w14:textId="77777777" w:rsidR="005E6918" w:rsidRPr="00BA6536" w:rsidRDefault="002E1FEA" w:rsidP="00931B2E">
      <w:pPr>
        <w:pStyle w:val="Heading4"/>
      </w:pPr>
      <w:bookmarkStart w:id="386" w:name="_Toc383700169"/>
      <w:r>
        <w:t xml:space="preserve">f. </w:t>
      </w:r>
      <w:r w:rsidR="00715A12" w:rsidRPr="00BA6536">
        <w:t>KEY FINDINGS – HOUSING CHARACTERISTICS</w:t>
      </w:r>
      <w:bookmarkEnd w:id="386"/>
    </w:p>
    <w:p w14:paraId="7D95E5AB" w14:textId="77777777" w:rsidR="00715A12" w:rsidRPr="00BA6536" w:rsidRDefault="00715A12" w:rsidP="005E6918">
      <w:pPr>
        <w:tabs>
          <w:tab w:val="num" w:pos="0"/>
        </w:tabs>
        <w:spacing w:after="0" w:line="280" w:lineRule="atLeast"/>
        <w:jc w:val="both"/>
        <w:rPr>
          <w:rFonts w:eastAsia="Times New Roman" w:cs="Times New Roman"/>
        </w:rPr>
      </w:pPr>
    </w:p>
    <w:p w14:paraId="7A98C16F"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Housing in the unincorporated area of Mono County is primarily single-family residences including mobile homes. Between 1990 and 2010, the number of multifamily units had the highest percentage increase of any type of housing.</w:t>
      </w:r>
    </w:p>
    <w:p w14:paraId="5141CA51" w14:textId="77777777" w:rsidR="00715A12" w:rsidRPr="00BA6536" w:rsidRDefault="00715A12" w:rsidP="00715A12">
      <w:pPr>
        <w:spacing w:after="0" w:line="280" w:lineRule="atLeast"/>
        <w:jc w:val="both"/>
        <w:rPr>
          <w:rFonts w:eastAsia="Times New Roman" w:cs="Times New Roman"/>
        </w:rPr>
      </w:pPr>
    </w:p>
    <w:p w14:paraId="63FB5D2A"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 xml:space="preserve">In general, Mono County's housing stock is in fair to good condition. Approximately 60 percent of all housing units in the unincorporated area have been built in the past 30 years. </w:t>
      </w:r>
    </w:p>
    <w:p w14:paraId="3D3208FF" w14:textId="77777777" w:rsidR="00715A12" w:rsidRPr="00BA6536" w:rsidRDefault="00715A12" w:rsidP="00715A12">
      <w:pPr>
        <w:tabs>
          <w:tab w:val="num" w:pos="0"/>
        </w:tabs>
        <w:spacing w:after="0" w:line="280" w:lineRule="atLeast"/>
        <w:jc w:val="both"/>
        <w:rPr>
          <w:rFonts w:eastAsia="Times New Roman" w:cs="Times New Roman"/>
        </w:rPr>
      </w:pPr>
    </w:p>
    <w:p w14:paraId="438FF853" w14:textId="77777777" w:rsidR="00715A12" w:rsidRPr="00BA6536" w:rsidRDefault="00715A12" w:rsidP="00931B2E">
      <w:pPr>
        <w:pStyle w:val="Heading3"/>
      </w:pPr>
      <w:r w:rsidRPr="00BA6536">
        <w:t>Regional Housing Need</w:t>
      </w:r>
      <w:r w:rsidRPr="00BA6536">
        <w:fldChar w:fldCharType="begin"/>
      </w:r>
      <w:r w:rsidRPr="00BA6536">
        <w:instrText xml:space="preserve"> TC"</w:instrText>
      </w:r>
      <w:bookmarkStart w:id="387" w:name="_Toc66156085"/>
      <w:bookmarkStart w:id="388" w:name="_Toc76444007"/>
      <w:bookmarkStart w:id="389" w:name="_Toc123887152"/>
      <w:r w:rsidRPr="00BA6536">
        <w:instrText>Regional Housing Need</w:instrText>
      </w:r>
      <w:bookmarkEnd w:id="387"/>
      <w:bookmarkEnd w:id="388"/>
      <w:bookmarkEnd w:id="389"/>
      <w:r w:rsidRPr="00BA6536">
        <w:instrText xml:space="preserve">"\l 2 </w:instrText>
      </w:r>
      <w:r w:rsidRPr="00BA6536">
        <w:fldChar w:fldCharType="end"/>
      </w:r>
    </w:p>
    <w:p w14:paraId="05367241"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Regional Housing Need</w:t>
      </w:r>
    </w:p>
    <w:p w14:paraId="14C9E2E2"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The Department of Housing and Community Development (HCD) established Regional Housing Needs for the unincorporated area of Mono County for the planning period (2014-2019):  9 units for very low-income households, 7 units for low-income households, 9 units for moderate-income households, and 19 units for above moderate-income households.</w:t>
      </w:r>
    </w:p>
    <w:p w14:paraId="2011C594" w14:textId="77777777" w:rsidR="005E6918" w:rsidRPr="00BA6536" w:rsidRDefault="005E6918" w:rsidP="00715A12">
      <w:pPr>
        <w:spacing w:after="0" w:line="280" w:lineRule="atLeast"/>
        <w:jc w:val="both"/>
        <w:rPr>
          <w:rFonts w:eastAsia="Times New Roman" w:cs="Times New Roman"/>
        </w:rPr>
      </w:pPr>
    </w:p>
    <w:p w14:paraId="64D5918F" w14:textId="77777777" w:rsidR="00715A12" w:rsidRPr="00BA6536" w:rsidRDefault="002E1FEA" w:rsidP="00931B2E">
      <w:pPr>
        <w:pStyle w:val="Heading4"/>
      </w:pPr>
      <w:bookmarkStart w:id="390" w:name="_Toc383700170"/>
      <w:r>
        <w:t xml:space="preserve">g. </w:t>
      </w:r>
      <w:r w:rsidR="00715A12" w:rsidRPr="00BA6536">
        <w:t>KEY FINDINGS – REGIONAL HOUSING NEED</w:t>
      </w:r>
      <w:bookmarkEnd w:id="390"/>
    </w:p>
    <w:p w14:paraId="703E1022" w14:textId="77777777" w:rsidR="00715A12" w:rsidRPr="00BA6536" w:rsidRDefault="00715A12" w:rsidP="005E6918">
      <w:pPr>
        <w:spacing w:after="0" w:line="280" w:lineRule="atLeast"/>
        <w:jc w:val="both"/>
        <w:rPr>
          <w:rFonts w:eastAsia="Times New Roman" w:cs="Times New Roman"/>
        </w:rPr>
      </w:pPr>
    </w:p>
    <w:p w14:paraId="17FDEBDA"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 xml:space="preserve">In contrast to prior planning periods for the housing element, housing starts have slowed dramatically in the County. Housing starts have averaged only 13 per year since the housing crash of 2008. </w:t>
      </w:r>
    </w:p>
    <w:p w14:paraId="034DDBA5" w14:textId="77777777" w:rsidR="00715A12" w:rsidRPr="00BA6536" w:rsidRDefault="00715A12" w:rsidP="00715A12">
      <w:pPr>
        <w:spacing w:after="0" w:line="280" w:lineRule="atLeast"/>
        <w:jc w:val="both"/>
        <w:rPr>
          <w:rFonts w:eastAsia="Times New Roman" w:cs="Times New Roman"/>
        </w:rPr>
      </w:pPr>
    </w:p>
    <w:p w14:paraId="5CF00D6D"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Due to the slowing in housing starts, Mono County has made little progress in meeting the identified regional housing needs.  The remaining housing need is 58 units for very low-income households, 47 units for low-income households, 28 units for moderate-income households, and 33 units for above moderate- income households.</w:t>
      </w:r>
    </w:p>
    <w:p w14:paraId="003FE931" w14:textId="77777777" w:rsidR="00715A12" w:rsidRPr="00BA6536" w:rsidRDefault="00715A12" w:rsidP="005E6918">
      <w:pPr>
        <w:spacing w:after="0" w:line="280" w:lineRule="atLeast"/>
        <w:jc w:val="both"/>
        <w:rPr>
          <w:rFonts w:eastAsia="Times New Roman" w:cs="Times New Roman"/>
        </w:rPr>
      </w:pPr>
    </w:p>
    <w:p w14:paraId="2EE1B812" w14:textId="77777777" w:rsidR="00715A12" w:rsidRPr="00BA6536" w:rsidRDefault="00715A12" w:rsidP="00931B2E">
      <w:pPr>
        <w:pStyle w:val="Heading3"/>
      </w:pPr>
      <w:r w:rsidRPr="00BA6536">
        <w:t>Land Use Inventory</w:t>
      </w:r>
      <w:r w:rsidRPr="00BA6536">
        <w:fldChar w:fldCharType="begin"/>
      </w:r>
      <w:r w:rsidRPr="00BA6536">
        <w:instrText xml:space="preserve"> TC"</w:instrText>
      </w:r>
      <w:bookmarkStart w:id="391" w:name="_Toc66156086"/>
      <w:bookmarkStart w:id="392" w:name="_Toc76444008"/>
      <w:bookmarkStart w:id="393" w:name="_Toc123887153"/>
      <w:r w:rsidRPr="00BA6536">
        <w:instrText>Land Use Inventory</w:instrText>
      </w:r>
      <w:bookmarkEnd w:id="391"/>
      <w:bookmarkEnd w:id="392"/>
      <w:bookmarkEnd w:id="393"/>
      <w:r w:rsidRPr="00BA6536">
        <w:instrText xml:space="preserve">"\l 2 </w:instrText>
      </w:r>
      <w:r w:rsidRPr="00BA6536">
        <w:fldChar w:fldCharType="end"/>
      </w:r>
    </w:p>
    <w:p w14:paraId="245F5805"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Physical and Environmental Constraints</w:t>
      </w:r>
    </w:p>
    <w:p w14:paraId="78C072A2"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There are areas within Mono County that are unavailable for residential development because of site constraints such as natural hazards or environmentally sensitive lands. The high cost of building on these lands, coupled with environmental constraints, in many cases would make them unsuitable for development. Development in the following areas may be prohibited by the County's General Plan and/or Land Development Regulations, by requirements of other state or federal agencies, may present a hazard to those who choose to build in the area, or may impact valuable resources and require costly mitigation measures: remote locations without reasonable access or available public services, hazard-prone areas (avalanche-prone areas, fault hazard zones, geologically sensitive areas, flood plains), areas with low permeability soils unsuitable for septic systems, and environmentally sensitive areas (wetlands, stream corridors, sensitive wildlife habitat, areas with endangered plant species).</w:t>
      </w:r>
    </w:p>
    <w:p w14:paraId="09FAA13F" w14:textId="77777777" w:rsidR="00715A12" w:rsidRPr="00BA6536" w:rsidRDefault="00715A12" w:rsidP="00715A12">
      <w:pPr>
        <w:tabs>
          <w:tab w:val="num" w:pos="0"/>
        </w:tabs>
        <w:spacing w:after="0" w:line="280" w:lineRule="atLeast"/>
        <w:jc w:val="both"/>
        <w:rPr>
          <w:rFonts w:eastAsia="Times New Roman" w:cs="Times New Roman"/>
        </w:rPr>
      </w:pPr>
    </w:p>
    <w:p w14:paraId="6F08B30B"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Zoning for Lower Income</w:t>
      </w:r>
    </w:p>
    <w:p w14:paraId="3BC99FF0"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Mono County has several land use designations that provide density bonuses for affordable housing and that are intended to provide for the efficient use of land and to increase opportunities for affordable housing. The following land use designations promote the provision of affordable housing:  Multi-Family Residential-Low, Moderate, High (MFR-L, M, H); Mixed Use (MU); and Commercial Lodging-Moderate, High (CL-M, H).</w:t>
      </w:r>
    </w:p>
    <w:p w14:paraId="4109863D" w14:textId="77777777" w:rsidR="00715A12" w:rsidRPr="00BA6536" w:rsidRDefault="00715A12" w:rsidP="00715A12">
      <w:pPr>
        <w:tabs>
          <w:tab w:val="num" w:pos="0"/>
        </w:tabs>
        <w:spacing w:after="0" w:line="280" w:lineRule="atLeast"/>
        <w:jc w:val="both"/>
        <w:rPr>
          <w:rFonts w:eastAsia="Times New Roman" w:cs="Times New Roman"/>
        </w:rPr>
      </w:pPr>
    </w:p>
    <w:p w14:paraId="256FBA03"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Infrastructure Availability</w:t>
      </w:r>
    </w:p>
    <w:p w14:paraId="4A3FD57D"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Much of the land available for residential development in the unincorporated area requires individual septic systems and wells. Some areas of the County have small community water systems but still require individual septic systems; other areas have community sewer systems but require individual wells. </w:t>
      </w:r>
    </w:p>
    <w:p w14:paraId="0DEDF26E" w14:textId="77777777" w:rsidR="00715A12" w:rsidRPr="00BA6536" w:rsidRDefault="00715A12" w:rsidP="00715A12">
      <w:pPr>
        <w:tabs>
          <w:tab w:val="num" w:pos="0"/>
        </w:tabs>
        <w:spacing w:after="0" w:line="280" w:lineRule="atLeast"/>
        <w:jc w:val="both"/>
        <w:rPr>
          <w:rFonts w:eastAsia="Times New Roman" w:cs="Times New Roman"/>
        </w:rPr>
      </w:pPr>
    </w:p>
    <w:p w14:paraId="7C7A2D84"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Lahontan Regional Water Quality Control Board's (RWQCB) water quality regulations affect the minimum lot size on which development can occur depending on whether community water and/or sewer systems are available. If community water is available, but individual septic systems are required, the minimum lot size required by RWQCB is 20,000 square feet. If both individual wells and septic systems are required the minimum lot size is 40,000 square feet. </w:t>
      </w:r>
    </w:p>
    <w:p w14:paraId="76310CB2" w14:textId="77777777" w:rsidR="00715A12" w:rsidRPr="00BA6536" w:rsidRDefault="00715A12" w:rsidP="00715A12">
      <w:pPr>
        <w:tabs>
          <w:tab w:val="num" w:pos="0"/>
        </w:tabs>
        <w:spacing w:after="0" w:line="280" w:lineRule="atLeast"/>
        <w:jc w:val="both"/>
        <w:rPr>
          <w:rFonts w:eastAsia="Times New Roman" w:cs="Times New Roman"/>
        </w:rPr>
      </w:pPr>
    </w:p>
    <w:p w14:paraId="52C110A8"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In some areas in the County where individual lots are 7,500 square feet, these requirements make it necessary to have more than one lot to build a house. Some areas of the County also have soils that are not conducive to standard septic system designs. Those areas may require additional septic system improvements that increase the cost of building.</w:t>
      </w:r>
    </w:p>
    <w:p w14:paraId="53A8F0F2" w14:textId="77777777" w:rsidR="00715A12" w:rsidRPr="00BA6536" w:rsidRDefault="00715A12" w:rsidP="00715A12">
      <w:pPr>
        <w:tabs>
          <w:tab w:val="num" w:pos="0"/>
        </w:tabs>
        <w:spacing w:after="0" w:line="280" w:lineRule="atLeast"/>
        <w:jc w:val="both"/>
        <w:rPr>
          <w:rFonts w:eastAsia="Times New Roman" w:cs="Times New Roman"/>
        </w:rPr>
      </w:pPr>
    </w:p>
    <w:p w14:paraId="13304DAE"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Redevelopable Sites</w:t>
      </w:r>
    </w:p>
    <w:p w14:paraId="3F20D6EA"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Mono County has sufficient undeveloped sites available to meet its identified regional housing needs. There is no need to include redevelopable sites as part of this analysis.</w:t>
      </w:r>
    </w:p>
    <w:p w14:paraId="69E1AC84" w14:textId="77777777" w:rsidR="00715A12" w:rsidRPr="00BA6536" w:rsidRDefault="00715A12" w:rsidP="00715A12">
      <w:pPr>
        <w:tabs>
          <w:tab w:val="num" w:pos="0"/>
        </w:tabs>
        <w:spacing w:after="0" w:line="280" w:lineRule="atLeast"/>
        <w:jc w:val="both"/>
        <w:rPr>
          <w:rFonts w:eastAsia="Times New Roman" w:cs="Times New Roman"/>
        </w:rPr>
      </w:pPr>
    </w:p>
    <w:p w14:paraId="11A4382C"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Sites &amp; Zoning that Facilitate Housing for Farmworkers &amp; Homeless</w:t>
      </w:r>
    </w:p>
    <w:p w14:paraId="640B98E5" w14:textId="77777777" w:rsidR="00715A12" w:rsidRPr="00BA6536" w:rsidRDefault="00715A12" w:rsidP="00715A12">
      <w:pPr>
        <w:numPr>
          <w:ilvl w:val="12"/>
          <w:numId w:val="0"/>
        </w:numPr>
        <w:tabs>
          <w:tab w:val="num" w:pos="0"/>
          <w:tab w:val="left" w:pos="180"/>
        </w:tabs>
        <w:spacing w:after="0" w:line="280" w:lineRule="atLeast"/>
        <w:jc w:val="both"/>
        <w:rPr>
          <w:rFonts w:eastAsia="Times New Roman" w:cs="Times New Roman"/>
        </w:rPr>
      </w:pPr>
      <w:r w:rsidRPr="00BA6536">
        <w:rPr>
          <w:rFonts w:eastAsia="Times New Roman" w:cs="Times New Roman"/>
        </w:rPr>
        <w:t>The Agriculture (AG) designation allows farm labor housing without any type of development permit, other than a building permit. The Scenic Area Agriculture (SAA) designation also allows farm labor housing without any type of development permit, other than a building permit, to the extent the development complies with the Mono Basin National Forest Scenic Area Private Property Development Guidelines and with the Compatibility Determinations for Proposed New Commercial Uses and Developments. There are many acres of agriculturally zoned land in Antelope Valley, Bridgeport Valley, and Tri Valley.</w:t>
      </w:r>
    </w:p>
    <w:p w14:paraId="2BF569C7" w14:textId="77777777" w:rsidR="00715A12" w:rsidRPr="00BA6536" w:rsidRDefault="00715A12" w:rsidP="00715A12">
      <w:pPr>
        <w:tabs>
          <w:tab w:val="num" w:pos="0"/>
        </w:tabs>
        <w:spacing w:after="0" w:line="280" w:lineRule="atLeast"/>
        <w:jc w:val="both"/>
        <w:rPr>
          <w:rFonts w:eastAsia="Times New Roman" w:cs="Times New Roman"/>
        </w:rPr>
      </w:pPr>
    </w:p>
    <w:p w14:paraId="00E7AFF1"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The Mono County Land Development Regulations do not specifically address housing for homeless since there is not a significant homeless population in the County. Zoning designations that allow for multiple-family residential units; i.e., Multiple-Family Residential (MFR-L, M, H), Mixed Use (MU), and Commercial Lodging (CL-L, H) would also provide for homeless housing if it becomes necessary. </w:t>
      </w:r>
    </w:p>
    <w:p w14:paraId="53557050" w14:textId="77777777" w:rsidR="00715A12" w:rsidRPr="00BA6536" w:rsidRDefault="00715A12" w:rsidP="00715A12">
      <w:pPr>
        <w:tabs>
          <w:tab w:val="num" w:pos="0"/>
        </w:tabs>
        <w:spacing w:after="0" w:line="280" w:lineRule="atLeast"/>
        <w:jc w:val="both"/>
        <w:rPr>
          <w:rFonts w:eastAsia="Times New Roman" w:cs="Times New Roman"/>
        </w:rPr>
      </w:pPr>
    </w:p>
    <w:p w14:paraId="0FC29D03"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Realistic Capacity</w:t>
      </w:r>
    </w:p>
    <w:p w14:paraId="380E22E7"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Mono County's Land Use Element, in Chapter V, Projected Buildout, discusses land available for development by zoning district and the realistic buildout figures for that land. Tables t show projected buildout figures for each community area and for the private lands outside community areas. These tables note where maximum densities are not realistic based on environmental constraints, lack of infrastructure, lack of access, and/or community desire to keep large parcels of agricultural land as open space.  Realistic capacity is also addressed in Appendix B for specific income groups.</w:t>
      </w:r>
    </w:p>
    <w:p w14:paraId="115DD535" w14:textId="77777777" w:rsidR="005E6918" w:rsidRPr="00BA6536" w:rsidRDefault="005E6918" w:rsidP="00715A12">
      <w:pPr>
        <w:tabs>
          <w:tab w:val="num" w:pos="0"/>
        </w:tabs>
        <w:spacing w:after="0" w:line="280" w:lineRule="atLeast"/>
        <w:jc w:val="both"/>
        <w:rPr>
          <w:rFonts w:eastAsia="Times New Roman" w:cs="Times New Roman"/>
        </w:rPr>
      </w:pPr>
    </w:p>
    <w:p w14:paraId="57C90B33" w14:textId="77777777" w:rsidR="00715A12" w:rsidRPr="00BA6536" w:rsidRDefault="002E1FEA" w:rsidP="00931B2E">
      <w:pPr>
        <w:pStyle w:val="Heading4"/>
      </w:pPr>
      <w:bookmarkStart w:id="394" w:name="_Toc383700171"/>
      <w:r>
        <w:t xml:space="preserve">h. </w:t>
      </w:r>
      <w:r w:rsidR="00715A12" w:rsidRPr="00BA6536">
        <w:t>KEY FINDINGS – LAND USE INVENTORY</w:t>
      </w:r>
      <w:bookmarkEnd w:id="394"/>
    </w:p>
    <w:p w14:paraId="56BF7F2A" w14:textId="77777777" w:rsidR="00715A12" w:rsidRPr="00BA6536" w:rsidRDefault="00715A12" w:rsidP="00715A12">
      <w:pPr>
        <w:spacing w:after="0" w:line="280" w:lineRule="atLeast"/>
        <w:jc w:val="both"/>
        <w:rPr>
          <w:rFonts w:eastAsia="Times New Roman" w:cs="Times New Roman"/>
        </w:rPr>
      </w:pPr>
    </w:p>
    <w:p w14:paraId="0B7E4DB8"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There are areas within Mono County that are unavailable for residential development because of site constraints such as natural hazards or environmentally sensitive lands. The high cost of building on these lands, coupled with environmental constraints, in many cases would make them unsuitable for development.</w:t>
      </w:r>
    </w:p>
    <w:p w14:paraId="07784F0F" w14:textId="77777777" w:rsidR="00715A12" w:rsidRPr="00BA6536" w:rsidRDefault="00715A12" w:rsidP="00715A12">
      <w:pPr>
        <w:spacing w:after="0" w:line="280" w:lineRule="atLeast"/>
        <w:jc w:val="both"/>
        <w:rPr>
          <w:rFonts w:eastAsia="Times New Roman" w:cs="Times New Roman"/>
        </w:rPr>
      </w:pPr>
    </w:p>
    <w:p w14:paraId="2D7DA34E"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has several land use designations that provide density bonuses for affordable housing and that are intended to provide for the efficient use of land and to increase opportunities for affordable housing.</w:t>
      </w:r>
    </w:p>
    <w:p w14:paraId="47EEAB4C" w14:textId="77777777" w:rsidR="00715A12" w:rsidRPr="00BA6536" w:rsidRDefault="00715A12" w:rsidP="00715A12">
      <w:pPr>
        <w:spacing w:after="0" w:line="280" w:lineRule="atLeast"/>
        <w:jc w:val="both"/>
        <w:rPr>
          <w:rFonts w:eastAsia="Times New Roman" w:cs="Times New Roman"/>
        </w:rPr>
      </w:pPr>
    </w:p>
    <w:p w14:paraId="2A2E52C9"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Water and sewer systems are available in some communities. If individual septic systems are required, the minimum lot size required is 20,000 square feet. If individual wells and septic systems are required, the minimum lot size is 40,000 square feet. In some areas of the County, these requirements make it necessary to have more than one lot to build a house.</w:t>
      </w:r>
    </w:p>
    <w:p w14:paraId="4E2AAA22" w14:textId="77777777" w:rsidR="00715A12" w:rsidRPr="00BA6536" w:rsidRDefault="00715A12" w:rsidP="00715A12">
      <w:pPr>
        <w:spacing w:after="0" w:line="280" w:lineRule="atLeast"/>
        <w:jc w:val="both"/>
        <w:rPr>
          <w:rFonts w:eastAsia="Times New Roman" w:cs="Times New Roman"/>
        </w:rPr>
      </w:pPr>
    </w:p>
    <w:p w14:paraId="55CDAE45"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has sufficient undeveloped sites available to meet its identified regional housing needs. There is no need to include redevelopable sites as part of this analysis.</w:t>
      </w:r>
    </w:p>
    <w:p w14:paraId="4EA377B0" w14:textId="77777777" w:rsidR="00715A12" w:rsidRPr="00BA6536" w:rsidRDefault="00715A12" w:rsidP="00715A12">
      <w:pPr>
        <w:spacing w:after="0" w:line="280" w:lineRule="atLeast"/>
        <w:jc w:val="both"/>
        <w:rPr>
          <w:rFonts w:eastAsia="Times New Roman" w:cs="Times New Roman"/>
        </w:rPr>
      </w:pPr>
    </w:p>
    <w:p w14:paraId="703386FB"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County's Land Development Regulations allow farm housing and multifamily residential units, such as homeless housing, in several land use designations. There are many acres of agriculturally zoned land in the County. There are not significant homeless or farm workers population in the County, however, so those types of housing are not a high priority.</w:t>
      </w:r>
    </w:p>
    <w:p w14:paraId="03CE488B" w14:textId="77777777" w:rsidR="00715A12" w:rsidRPr="00BA6536" w:rsidRDefault="00715A12" w:rsidP="00715A12">
      <w:pPr>
        <w:spacing w:after="0" w:line="280" w:lineRule="atLeast"/>
        <w:jc w:val="both"/>
        <w:rPr>
          <w:rFonts w:eastAsia="Times New Roman" w:cs="Times New Roman"/>
        </w:rPr>
      </w:pPr>
    </w:p>
    <w:p w14:paraId="1BC1ABA1"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Maximum densities are not realistic in some areas based on environmental constraints, lack of infrastructure, lack of access, and/or community desire to keep large parcels of agricultural land as open space.  These areas are generally outside of established communities.  Within many communities, maximum densities are realistic due to lack of environmental constraints, adequate services and access, and higher density designations.</w:t>
      </w:r>
    </w:p>
    <w:p w14:paraId="6FE1FCA1" w14:textId="77777777" w:rsidR="00715A12" w:rsidRPr="00BA6536" w:rsidRDefault="00715A12" w:rsidP="00715A12">
      <w:pPr>
        <w:spacing w:after="0" w:line="280" w:lineRule="atLeast"/>
        <w:jc w:val="both"/>
        <w:rPr>
          <w:rFonts w:ascii="Times New Roman" w:eastAsia="Times New Roman" w:hAnsi="Times New Roman" w:cs="Times New Roman"/>
          <w:sz w:val="24"/>
          <w:szCs w:val="20"/>
        </w:rPr>
      </w:pPr>
    </w:p>
    <w:p w14:paraId="4BA58EB8" w14:textId="77777777" w:rsidR="00715A12" w:rsidRPr="00BA6536" w:rsidRDefault="00715A12" w:rsidP="00931B2E">
      <w:pPr>
        <w:pStyle w:val="Heading3"/>
      </w:pPr>
      <w:r w:rsidRPr="00BA6536">
        <w:t>Governmental Constraints</w:t>
      </w:r>
      <w:r w:rsidRPr="00BA6536">
        <w:fldChar w:fldCharType="begin"/>
      </w:r>
      <w:r w:rsidRPr="00BA6536">
        <w:instrText xml:space="preserve"> TC"</w:instrText>
      </w:r>
      <w:bookmarkStart w:id="395" w:name="_Toc66156087"/>
      <w:bookmarkStart w:id="396" w:name="_Toc76444009"/>
      <w:bookmarkStart w:id="397" w:name="_Toc123887154"/>
      <w:r w:rsidRPr="00BA6536">
        <w:instrText>Governmental Constraints</w:instrText>
      </w:r>
      <w:bookmarkEnd w:id="395"/>
      <w:bookmarkEnd w:id="396"/>
      <w:bookmarkEnd w:id="397"/>
      <w:r w:rsidRPr="00BA6536">
        <w:instrText xml:space="preserve">"\l 2 </w:instrText>
      </w:r>
      <w:r w:rsidRPr="00BA6536">
        <w:fldChar w:fldCharType="end"/>
      </w:r>
    </w:p>
    <w:p w14:paraId="296107C8"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Land Use Controls</w:t>
      </w:r>
    </w:p>
    <w:p w14:paraId="0A743C75"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Mono County's Land Use Designations and Land Development Regulations, which are integrated into the Mono County Land Use Element, provide for residential development throughout the unincorporated portion of the County. The County's Land Use Element, including the Land Development Regulations, does not contain any growth-control measures. Development standards, including permitted uses, lot size, lot dimensions, lot coverage, setbacks, density, building heights, and parking requirements have remained consistent since the early 1990s and have not been identified as constraints to development. Although Mono County's land development regulations and development standards have not been identified as constraints to development, there may be opportunities to increase the flexibility of those regulations in order to increase housing opportunities countywide.</w:t>
      </w:r>
    </w:p>
    <w:p w14:paraId="283FFBD8" w14:textId="77777777" w:rsidR="00715A12" w:rsidRPr="00BA6536" w:rsidRDefault="00715A12" w:rsidP="00715A12">
      <w:pPr>
        <w:tabs>
          <w:tab w:val="num" w:pos="0"/>
        </w:tabs>
        <w:spacing w:after="0" w:line="280" w:lineRule="atLeast"/>
        <w:jc w:val="both"/>
        <w:rPr>
          <w:rFonts w:eastAsia="Times New Roman" w:cs="Times New Roman"/>
        </w:rPr>
      </w:pPr>
    </w:p>
    <w:p w14:paraId="39AD4ECF"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Requirements Imposed by Other Agencies</w:t>
      </w:r>
    </w:p>
    <w:p w14:paraId="48B51DA9"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A number of other agencies (e.g., Southern California Edison, Lahontan Regional Water Quality Control Board, U.S. Army Corps of Engineers, California Department of Fish and Game) impose land use controls that affect development in Mono County. These regulations may constrain development by affecting the location and/or cost of development.</w:t>
      </w:r>
    </w:p>
    <w:p w14:paraId="673FBAA7" w14:textId="77777777" w:rsidR="00715A12" w:rsidRPr="00BA6536" w:rsidRDefault="00715A12" w:rsidP="00715A12">
      <w:pPr>
        <w:tabs>
          <w:tab w:val="num" w:pos="0"/>
        </w:tabs>
        <w:spacing w:after="0" w:line="280" w:lineRule="atLeast"/>
        <w:jc w:val="both"/>
        <w:rPr>
          <w:rFonts w:eastAsia="Times New Roman" w:cs="Times New Roman"/>
        </w:rPr>
      </w:pPr>
    </w:p>
    <w:p w14:paraId="12E885D7"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Codes and Enforcement</w:t>
      </w:r>
    </w:p>
    <w:p w14:paraId="7D635587"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The Mono County Building Division enforces current building, plumbing, mechanical, electric and energy codes. Development must also comply with seismic, wind, soils, energy conservation, and sound transmission control standards, which have been established on a countywide basis. Building Code requirements are generally state standards and do not create a constraint to the development of housing.</w:t>
      </w:r>
    </w:p>
    <w:p w14:paraId="66D526BC" w14:textId="77777777" w:rsidR="00715A12" w:rsidRPr="00BA6536" w:rsidRDefault="00715A12" w:rsidP="00715A12">
      <w:pPr>
        <w:tabs>
          <w:tab w:val="num" w:pos="0"/>
        </w:tabs>
        <w:spacing w:after="0" w:line="280" w:lineRule="atLeast"/>
        <w:jc w:val="both"/>
        <w:rPr>
          <w:rFonts w:eastAsia="Times New Roman" w:cs="Times New Roman"/>
        </w:rPr>
      </w:pPr>
    </w:p>
    <w:p w14:paraId="1A3BDC88"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The County has an ongoing code compliance program to ensure compliance with the County Code, including the Mono County Land Development Regulations, and the codes enforced by the Building Division. It does not create a constraint to development.</w:t>
      </w:r>
    </w:p>
    <w:p w14:paraId="058805E8" w14:textId="77777777" w:rsidR="00715A12" w:rsidRPr="00BA6536" w:rsidRDefault="00715A12" w:rsidP="00715A12">
      <w:pPr>
        <w:tabs>
          <w:tab w:val="num" w:pos="0"/>
        </w:tabs>
        <w:spacing w:after="0" w:line="280" w:lineRule="atLeast"/>
        <w:jc w:val="both"/>
        <w:rPr>
          <w:rFonts w:eastAsia="Times New Roman" w:cs="Times New Roman"/>
        </w:rPr>
      </w:pPr>
    </w:p>
    <w:p w14:paraId="4E57471C"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On-/Off-Site Improvement Standards</w:t>
      </w:r>
    </w:p>
    <w:p w14:paraId="054FCEFF"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On-site improvements for residential construction are generally limited to improvements required by the County's Fire Safe Regulations, and septic and water improvements required by the County Health Department or by local sewer and water providers. These required improvements are based on state requirements and do not create an additional constraint to development. Local fire departments may also require additional on-site improvements. Off-site development requirements for residential construction are generally limited to collection of school district fees and fire protection mitigation fees in areas within fire protection districts.</w:t>
      </w:r>
    </w:p>
    <w:p w14:paraId="61C4CD99" w14:textId="77777777" w:rsidR="00715A12" w:rsidRPr="00BA6536" w:rsidRDefault="00715A12" w:rsidP="00715A12">
      <w:pPr>
        <w:tabs>
          <w:tab w:val="num" w:pos="0"/>
        </w:tabs>
        <w:spacing w:after="0" w:line="280" w:lineRule="atLeast"/>
        <w:jc w:val="both"/>
        <w:rPr>
          <w:rFonts w:eastAsia="Times New Roman" w:cs="Times New Roman"/>
        </w:rPr>
      </w:pPr>
    </w:p>
    <w:p w14:paraId="561052ED"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 xml:space="preserve">On-site improvements for subdivisions and land divisions may include the above requirements as well as additional requirements depending on the size and type of the proposed subdivision. Due to the environmental sensitivity of much of the land in the County, additional development requirements may be imposed through the environmental review process on discretionary projects (this does not apply to the construction of a single-family residence by an individual). Additional development requirements to mitigate significant environmental impacts from a proposed project may increase the overall cost of the project that in turn may increase the cost of housing within the project. </w:t>
      </w:r>
    </w:p>
    <w:p w14:paraId="4B4A40F6" w14:textId="77777777" w:rsidR="00715A12" w:rsidRPr="00BA6536" w:rsidRDefault="00715A12" w:rsidP="00715A12">
      <w:pPr>
        <w:tabs>
          <w:tab w:val="num" w:pos="0"/>
        </w:tabs>
        <w:spacing w:after="0" w:line="280" w:lineRule="atLeast"/>
        <w:jc w:val="both"/>
        <w:rPr>
          <w:rFonts w:eastAsia="Times New Roman" w:cs="Times New Roman"/>
        </w:rPr>
      </w:pPr>
    </w:p>
    <w:p w14:paraId="7AAB08A9" w14:textId="77777777" w:rsidR="00715A12" w:rsidRPr="00BA6536" w:rsidRDefault="00715A12" w:rsidP="00715A12">
      <w:pPr>
        <w:keepNext/>
        <w:spacing w:after="0" w:line="280" w:lineRule="atLeast"/>
        <w:jc w:val="both"/>
        <w:rPr>
          <w:rFonts w:eastAsia="Times New Roman" w:cs="Times New Roman"/>
        </w:rPr>
      </w:pPr>
      <w:r w:rsidRPr="00BA6536">
        <w:rPr>
          <w:rFonts w:eastAsia="Times New Roman" w:cs="Times New Roman"/>
        </w:rPr>
        <w:t>Fees and Exactions</w:t>
      </w:r>
    </w:p>
    <w:p w14:paraId="0E783FCC" w14:textId="77777777" w:rsidR="00715A12" w:rsidRPr="00BA6536" w:rsidRDefault="00715A12" w:rsidP="00715A12">
      <w:pPr>
        <w:tabs>
          <w:tab w:val="num" w:pos="0"/>
          <w:tab w:val="left" w:pos="1080"/>
        </w:tabs>
        <w:spacing w:after="0" w:line="280" w:lineRule="atLeast"/>
        <w:jc w:val="both"/>
        <w:rPr>
          <w:rFonts w:eastAsia="Times New Roman" w:cs="Times New Roman"/>
        </w:rPr>
      </w:pPr>
      <w:r w:rsidRPr="00BA6536">
        <w:rPr>
          <w:rFonts w:eastAsia="Times New Roman" w:cs="Times New Roman"/>
        </w:rPr>
        <w:t>Mono County collects development fees and building permit fees to cover the actual cost of services rendered. While they increase the cost of housing, they are not a constraint to development. The County streamlined its permit processing in order to expedite the development process and minimize the fees involved in a project and is now in the process of switching to electronic permit processing in order to streamline the process further. The County may also require the following land dedications and exactions, depending on the location and type of the development: street rights of way, public utility easements, open space and trail dedications, snow storage easements, employee housing.</w:t>
      </w:r>
    </w:p>
    <w:p w14:paraId="36342716" w14:textId="77777777" w:rsidR="00715A12" w:rsidRPr="00BA6536" w:rsidRDefault="00715A12" w:rsidP="00715A12">
      <w:pPr>
        <w:tabs>
          <w:tab w:val="num" w:pos="0"/>
          <w:tab w:val="left" w:pos="1080"/>
        </w:tabs>
        <w:spacing w:after="0" w:line="280" w:lineRule="atLeast"/>
        <w:jc w:val="both"/>
        <w:rPr>
          <w:rFonts w:eastAsia="Times New Roman" w:cs="Times New Roman"/>
        </w:rPr>
      </w:pPr>
    </w:p>
    <w:p w14:paraId="09CC56C1" w14:textId="77777777" w:rsidR="00715A12" w:rsidRPr="00BA6536" w:rsidRDefault="00715A12" w:rsidP="00715A12">
      <w:pPr>
        <w:tabs>
          <w:tab w:val="num" w:pos="0"/>
          <w:tab w:val="left" w:pos="1080"/>
        </w:tabs>
        <w:spacing w:after="0" w:line="280" w:lineRule="atLeast"/>
        <w:jc w:val="both"/>
        <w:rPr>
          <w:rFonts w:eastAsia="Times New Roman" w:cs="Times New Roman"/>
        </w:rPr>
      </w:pPr>
      <w:r w:rsidRPr="00BA6536">
        <w:rPr>
          <w:rFonts w:eastAsia="Times New Roman" w:cs="Times New Roman"/>
        </w:rPr>
        <w:t>Total fees for a typical single-family and multifamily development will vary depending on where in the County the project is located. Typical fees for a multifamily residential unit will be approximately 75 percent of the cost for a single-family residential unit.</w:t>
      </w:r>
    </w:p>
    <w:p w14:paraId="7F28E2D5" w14:textId="77777777" w:rsidR="00715A12" w:rsidRPr="00BA6536" w:rsidRDefault="00715A12" w:rsidP="00715A12">
      <w:pPr>
        <w:tabs>
          <w:tab w:val="num" w:pos="0"/>
        </w:tabs>
        <w:spacing w:after="0" w:line="280" w:lineRule="atLeast"/>
        <w:jc w:val="both"/>
        <w:rPr>
          <w:rFonts w:eastAsia="Times New Roman" w:cs="Times New Roman"/>
        </w:rPr>
      </w:pPr>
    </w:p>
    <w:p w14:paraId="5E92F279" w14:textId="77777777" w:rsidR="00715A12" w:rsidRPr="00BA6536" w:rsidRDefault="00715A12" w:rsidP="00715A12">
      <w:pPr>
        <w:tabs>
          <w:tab w:val="num" w:pos="0"/>
        </w:tabs>
        <w:spacing w:after="0" w:line="280" w:lineRule="atLeast"/>
        <w:jc w:val="both"/>
        <w:rPr>
          <w:rFonts w:eastAsia="Times New Roman" w:cs="Times New Roman"/>
        </w:rPr>
      </w:pPr>
      <w:r w:rsidRPr="00BA6536">
        <w:rPr>
          <w:rFonts w:eastAsia="Times New Roman" w:cs="Times New Roman"/>
        </w:rPr>
        <w:t>The County completed a fee impact study and adopted a Housing Mitigation Ordinance in order to implement in-lieu fees and/or land dedications to provide for affordable housing.</w:t>
      </w:r>
    </w:p>
    <w:p w14:paraId="466CF7C7" w14:textId="77777777" w:rsidR="00715A12" w:rsidRPr="00BA6536" w:rsidRDefault="00715A12" w:rsidP="00715A12">
      <w:pPr>
        <w:spacing w:after="0" w:line="280" w:lineRule="atLeast"/>
        <w:ind w:left="360"/>
        <w:jc w:val="both"/>
        <w:rPr>
          <w:rFonts w:eastAsia="Times New Roman" w:cs="Times New Roman"/>
        </w:rPr>
      </w:pPr>
    </w:p>
    <w:p w14:paraId="5D6A75BE" w14:textId="77777777" w:rsidR="00715A12" w:rsidRPr="00BA6536" w:rsidRDefault="002E1FEA" w:rsidP="00931B2E">
      <w:pPr>
        <w:pStyle w:val="Heading4"/>
      </w:pPr>
      <w:bookmarkStart w:id="398" w:name="_Toc383700172"/>
      <w:r>
        <w:t xml:space="preserve">i. </w:t>
      </w:r>
      <w:r w:rsidR="00715A12" w:rsidRPr="00BA6536">
        <w:t>KEY FINDINGS – GOVERNMENTAL CONSTRAINTS</w:t>
      </w:r>
      <w:bookmarkEnd w:id="398"/>
    </w:p>
    <w:p w14:paraId="5833DBCE" w14:textId="77777777" w:rsidR="00715A12" w:rsidRPr="00BA6536" w:rsidRDefault="00715A12" w:rsidP="00715A12">
      <w:pPr>
        <w:spacing w:after="0" w:line="280" w:lineRule="atLeast"/>
        <w:jc w:val="both"/>
        <w:rPr>
          <w:rFonts w:eastAsia="Times New Roman" w:cs="Times New Roman"/>
        </w:rPr>
      </w:pPr>
    </w:p>
    <w:p w14:paraId="5884493F"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Although Mono County's land development regulations and development standards have not been identified as constraints to development, there may be opportunities to increase the flexibility of those regulations in order to increase housing opportunities Countywide.</w:t>
      </w:r>
    </w:p>
    <w:p w14:paraId="65FAE6CD" w14:textId="77777777" w:rsidR="00715A12" w:rsidRPr="00BA6536" w:rsidRDefault="00715A12" w:rsidP="00715A12">
      <w:pPr>
        <w:spacing w:after="0" w:line="280" w:lineRule="atLeast"/>
        <w:jc w:val="both"/>
        <w:rPr>
          <w:rFonts w:eastAsia="Times New Roman" w:cs="Times New Roman"/>
        </w:rPr>
      </w:pPr>
    </w:p>
    <w:p w14:paraId="65753C68"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A number of other agencies impose land use controls that may constrain development in Mono County by affecting the location and/or cost of development.</w:t>
      </w:r>
    </w:p>
    <w:p w14:paraId="5D9B5E3C" w14:textId="77777777" w:rsidR="00715A12" w:rsidRPr="00BA6536" w:rsidRDefault="00715A12" w:rsidP="00715A12">
      <w:pPr>
        <w:spacing w:after="0" w:line="280" w:lineRule="atLeast"/>
        <w:jc w:val="both"/>
        <w:rPr>
          <w:rFonts w:eastAsia="Times New Roman" w:cs="Times New Roman"/>
        </w:rPr>
      </w:pPr>
    </w:p>
    <w:p w14:paraId="2C7B18B0"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The Mono County Building Division enforces a variety of building standards established on a countywide basis. Building Code requirements are generally state standards and do not create a constraint to the development of housing. The County has an ongoing code compliance program to ensure compliance with the County Code, including the Mono County Land Development Regulations, and the codes enforced by the Building Division. It does not create a constraint to development.</w:t>
      </w:r>
    </w:p>
    <w:p w14:paraId="096ED934" w14:textId="77777777" w:rsidR="00715A12" w:rsidRPr="00BA6536" w:rsidRDefault="00715A12" w:rsidP="00715A12">
      <w:pPr>
        <w:spacing w:after="0" w:line="280" w:lineRule="atLeast"/>
        <w:jc w:val="both"/>
        <w:rPr>
          <w:rFonts w:eastAsia="Times New Roman" w:cs="Times New Roman"/>
        </w:rPr>
      </w:pPr>
    </w:p>
    <w:p w14:paraId="7C8F5B61"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On-site improvements for residential construction are generally limited to improvements required by the County's Fire Safe Regulations, and septic and water improvements required by the County Health Department or by local sewer and water providers. These required improvements are based on state requirements and do not create an additional constraint to development. Local fire departments may also require additional on-site improvements. Off-site development requirements for residential construction are generally limited to collection of school district fees and fire protection mitigation fees in areas within fire protection districts.</w:t>
      </w:r>
    </w:p>
    <w:p w14:paraId="22B1A0FC" w14:textId="77777777" w:rsidR="00715A12" w:rsidRPr="00BA6536" w:rsidRDefault="00715A12" w:rsidP="00715A12">
      <w:pPr>
        <w:spacing w:after="0" w:line="280" w:lineRule="atLeast"/>
        <w:jc w:val="both"/>
        <w:rPr>
          <w:rFonts w:eastAsia="Times New Roman" w:cs="Times New Roman"/>
        </w:rPr>
      </w:pPr>
    </w:p>
    <w:p w14:paraId="1379AA0F"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On-site improvements for subdivisions and land divisions may include the above requirements as well as additional requirements depending on the size and type of the proposed subdivision. Due to the environmental sensitivity of much of the land in the County, additional development requirements may be imposed through the environmental review process on discretionary projects (this does not apply to the construction of a single-family residence by an individual). Additional development requirements to mitigate significant environmental impacts from a proposed project may increase the overall cost of the project that in turn may increase the cost of housing within the project.</w:t>
      </w:r>
    </w:p>
    <w:p w14:paraId="3D7DB201" w14:textId="77777777" w:rsidR="00715A12" w:rsidRPr="00BA6536" w:rsidRDefault="00715A12" w:rsidP="00715A12">
      <w:pPr>
        <w:spacing w:after="0" w:line="280" w:lineRule="atLeast"/>
        <w:jc w:val="both"/>
        <w:rPr>
          <w:rFonts w:eastAsia="Times New Roman" w:cs="Times New Roman"/>
        </w:rPr>
      </w:pPr>
    </w:p>
    <w:p w14:paraId="1A229ED1"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collects development fees and building permit fees to cover the actual cost of services rendered. While they increase the cost of housing, they are not a constraint to development. The County streamlined its permit processing in order to expedite the development process and minimize the fees involved in a project and is now in the process of switching to an electronic permit processing system. The County may also require the land dedications and exactions, depending on the location and type of the development.</w:t>
      </w:r>
    </w:p>
    <w:p w14:paraId="3D337238" w14:textId="77777777" w:rsidR="00715A12" w:rsidRPr="00BA6536" w:rsidRDefault="00715A12" w:rsidP="00715A12">
      <w:pPr>
        <w:spacing w:after="0" w:line="280" w:lineRule="atLeast"/>
        <w:jc w:val="both"/>
        <w:rPr>
          <w:rFonts w:eastAsia="Times New Roman" w:cs="Times New Roman"/>
        </w:rPr>
      </w:pPr>
    </w:p>
    <w:p w14:paraId="79B1B451"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The County completed a fee impact study and adopted a Housing Mitigation Ordinance in order to implement in-lieu fees and/or land dedications to provide for affordable housing.</w:t>
      </w:r>
    </w:p>
    <w:p w14:paraId="315F8FCC" w14:textId="77777777" w:rsidR="00715A12" w:rsidRPr="00BA6536" w:rsidRDefault="00715A12" w:rsidP="00715A12">
      <w:pPr>
        <w:spacing w:after="0" w:line="280" w:lineRule="atLeast"/>
        <w:jc w:val="both"/>
        <w:rPr>
          <w:rFonts w:eastAsia="Times New Roman" w:cs="Times New Roman"/>
        </w:rPr>
      </w:pPr>
    </w:p>
    <w:p w14:paraId="3A1C4F10" w14:textId="77777777" w:rsidR="00715A12" w:rsidRPr="00BA6536" w:rsidRDefault="00715A12" w:rsidP="00931B2E">
      <w:pPr>
        <w:pStyle w:val="Heading3"/>
      </w:pPr>
      <w:r w:rsidRPr="00BA6536">
        <w:t>Non-Governmental Constraints</w:t>
      </w:r>
      <w:r w:rsidRPr="00BA6536">
        <w:fldChar w:fldCharType="begin"/>
      </w:r>
      <w:r w:rsidRPr="00BA6536">
        <w:instrText xml:space="preserve"> TC"</w:instrText>
      </w:r>
      <w:bookmarkStart w:id="399" w:name="_Toc66156088"/>
      <w:bookmarkStart w:id="400" w:name="_Toc76444010"/>
      <w:bookmarkStart w:id="401" w:name="_Toc123887155"/>
      <w:r w:rsidRPr="00BA6536">
        <w:instrText>Non-Governmental Constraints</w:instrText>
      </w:r>
      <w:bookmarkEnd w:id="399"/>
      <w:bookmarkEnd w:id="400"/>
      <w:bookmarkEnd w:id="401"/>
      <w:r w:rsidRPr="00BA6536">
        <w:instrText xml:space="preserve">"\l 2 </w:instrText>
      </w:r>
      <w:r w:rsidRPr="00BA6536">
        <w:fldChar w:fldCharType="end"/>
      </w:r>
    </w:p>
    <w:p w14:paraId="6B11FD5D"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Land Costs</w:t>
      </w:r>
    </w:p>
    <w:p w14:paraId="2C31CFD9"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 xml:space="preserve">Land costs vary significantly depending where a parcel is located, whether community utilities are available to the site, whether infrastructure (access roads, utility lines) are installed on site, on the type of parcel (small town lot, large agricultural parcel), and on the housing demand in the area. No one area has overall lower or higher land costs; it depends on the parcel in question. </w:t>
      </w:r>
    </w:p>
    <w:p w14:paraId="0DFF8370" w14:textId="77777777" w:rsidR="00715A12" w:rsidRPr="00BA6536" w:rsidRDefault="00715A12" w:rsidP="00715A12">
      <w:pPr>
        <w:spacing w:after="0" w:line="280" w:lineRule="atLeast"/>
        <w:jc w:val="both"/>
        <w:rPr>
          <w:rFonts w:eastAsia="Times New Roman" w:cs="Times New Roman"/>
        </w:rPr>
      </w:pPr>
    </w:p>
    <w:p w14:paraId="1E621DBB"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Construction Costs</w:t>
      </w:r>
    </w:p>
    <w:p w14:paraId="351B51B2"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Construction costs are estimated to range from $150-$250 per square foot for single-family residential construction in the unincorporated area of Mono County. These costs include land, fees, materials, labor and financing.  Due to the wide range of land costs, fees and development requirements throughout the County, it is very difficult to estimate a "typical" total development cost for single-family residential development.</w:t>
      </w:r>
    </w:p>
    <w:p w14:paraId="7419ED6E" w14:textId="77777777" w:rsidR="00715A12" w:rsidRPr="00BA6536" w:rsidRDefault="00715A12" w:rsidP="00715A12">
      <w:pPr>
        <w:spacing w:after="0" w:line="280" w:lineRule="atLeast"/>
        <w:jc w:val="both"/>
        <w:rPr>
          <w:rFonts w:eastAsia="Times New Roman" w:cs="Times New Roman"/>
        </w:rPr>
      </w:pPr>
    </w:p>
    <w:p w14:paraId="21B69803"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Availability of Financing</w:t>
      </w:r>
    </w:p>
    <w:p w14:paraId="74F27916"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Financing for home construction or purchase is now generally available to Mono County residents at competitive rates. Lower interest rates are making it feasible for households with more moderate incomes to construct or purchase homes.</w:t>
      </w:r>
    </w:p>
    <w:p w14:paraId="151C4492" w14:textId="77777777" w:rsidR="00715A12" w:rsidRPr="00BA6536" w:rsidRDefault="00715A12" w:rsidP="00715A12">
      <w:pPr>
        <w:spacing w:after="0" w:line="280" w:lineRule="atLeast"/>
        <w:jc w:val="both"/>
        <w:rPr>
          <w:rFonts w:eastAsia="Times New Roman" w:cs="Times New Roman"/>
        </w:rPr>
      </w:pPr>
    </w:p>
    <w:p w14:paraId="787F4703"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There are a number of government-assisted loan programs to enable low- and moderate-income households to construct or purchase housing. These programs are generally available to Mono County residents.</w:t>
      </w:r>
    </w:p>
    <w:p w14:paraId="45D44436" w14:textId="77777777" w:rsidR="00715A12" w:rsidRPr="00BA6536" w:rsidRDefault="00715A12" w:rsidP="00715A12">
      <w:pPr>
        <w:spacing w:after="0" w:line="280" w:lineRule="atLeast"/>
        <w:jc w:val="both"/>
        <w:rPr>
          <w:rFonts w:eastAsia="Times New Roman" w:cs="Times New Roman"/>
        </w:rPr>
      </w:pPr>
    </w:p>
    <w:p w14:paraId="7B49AAD9"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Units at Risk of Conversion to Market Rate Uses</w:t>
      </w:r>
    </w:p>
    <w:p w14:paraId="542C41DD"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does not have any multifamily rental housing that could be converted to market-rate rents.</w:t>
      </w:r>
    </w:p>
    <w:p w14:paraId="40E79F04" w14:textId="77777777" w:rsidR="00715A12" w:rsidRPr="00BA6536" w:rsidRDefault="00715A12" w:rsidP="00715A12">
      <w:pPr>
        <w:spacing w:after="0" w:line="280" w:lineRule="atLeast"/>
        <w:jc w:val="both"/>
        <w:rPr>
          <w:rFonts w:eastAsia="Times New Roman" w:cs="Times New Roman"/>
        </w:rPr>
      </w:pPr>
    </w:p>
    <w:p w14:paraId="10CC2D3B"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Energy Conservation</w:t>
      </w:r>
    </w:p>
    <w:p w14:paraId="03EFDC92"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All new development in unincorporated Mono County, and major remodeling, such as home additions, must comply with the Title 24 of the California Administrative Energy Code. Title 24 implements energy efficiency standards relating to wall and ceiling insulation, thermal mass, and window-to-floor area ratios designed to reduce heat loss and energy consumption.</w:t>
      </w:r>
    </w:p>
    <w:p w14:paraId="23ED7FFE" w14:textId="77777777" w:rsidR="00715A12" w:rsidRPr="00BA6536" w:rsidRDefault="00715A12" w:rsidP="00715A12">
      <w:pPr>
        <w:spacing w:after="0" w:line="280" w:lineRule="atLeast"/>
        <w:jc w:val="both"/>
        <w:rPr>
          <w:rFonts w:eastAsia="Times New Roman" w:cs="Times New Roman"/>
        </w:rPr>
      </w:pPr>
    </w:p>
    <w:p w14:paraId="6953FA87"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General Plan policies encourage the "prudent use of energy and allow substitution of alternative energy sources for conventional energy when such substitution would result in minimal environmental impacts." Policies allow for the use of alternative energy sources, such as passive and active solar, in new residential construction, and encourage energy conservation, including weatherization programs. Several state and local agencies provide energy assistance and weatherization programs for low-income residents in Mono County.</w:t>
      </w:r>
    </w:p>
    <w:p w14:paraId="55BF0347" w14:textId="77777777" w:rsidR="00715A12" w:rsidRPr="00BA6536" w:rsidRDefault="00715A12" w:rsidP="00715A12">
      <w:pPr>
        <w:spacing w:after="0" w:line="280" w:lineRule="atLeast"/>
        <w:jc w:val="both"/>
        <w:rPr>
          <w:rFonts w:eastAsia="Times New Roman" w:cs="Times New Roman"/>
        </w:rPr>
      </w:pPr>
    </w:p>
    <w:p w14:paraId="1BEDACC3" w14:textId="77777777" w:rsidR="00715A12" w:rsidRPr="00BA6536" w:rsidRDefault="002E1FEA" w:rsidP="00931B2E">
      <w:pPr>
        <w:pStyle w:val="Heading4"/>
      </w:pPr>
      <w:bookmarkStart w:id="402" w:name="_Toc383700173"/>
      <w:r>
        <w:t xml:space="preserve">j. </w:t>
      </w:r>
      <w:r w:rsidR="00715A12" w:rsidRPr="00BA6536">
        <w:t>KEY FINDINGS – NON-GOVERNMENTAL CONSTRAINTS</w:t>
      </w:r>
      <w:bookmarkEnd w:id="402"/>
    </w:p>
    <w:p w14:paraId="080972E2" w14:textId="77777777" w:rsidR="00715A12" w:rsidRPr="00BA6536" w:rsidRDefault="00715A12" w:rsidP="00715A12">
      <w:pPr>
        <w:spacing w:after="0" w:line="280" w:lineRule="atLeast"/>
        <w:jc w:val="both"/>
        <w:rPr>
          <w:rFonts w:eastAsia="Times New Roman" w:cs="Times New Roman"/>
        </w:rPr>
      </w:pPr>
    </w:p>
    <w:p w14:paraId="6D890ADC"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Land costs vary significantly throughout Mono County depending on a number of factors. No one area has overall lower or higher land costs; it depends on the parcel in question.</w:t>
      </w:r>
    </w:p>
    <w:p w14:paraId="3D72940E" w14:textId="77777777" w:rsidR="00715A12" w:rsidRPr="00BA6536" w:rsidRDefault="00715A12" w:rsidP="00715A12">
      <w:pPr>
        <w:spacing w:after="0" w:line="280" w:lineRule="atLeast"/>
        <w:jc w:val="both"/>
        <w:rPr>
          <w:rFonts w:eastAsia="Times New Roman" w:cs="Times New Roman"/>
        </w:rPr>
      </w:pPr>
    </w:p>
    <w:p w14:paraId="6FA6B9EB"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Due to the wide range of land costs, fees and development requirements throughout the County, it is very difficult to estimate a "typical" total development cost for single-family residential development.</w:t>
      </w:r>
    </w:p>
    <w:p w14:paraId="6A376E98" w14:textId="77777777" w:rsidR="00715A12" w:rsidRPr="00BA6536" w:rsidRDefault="00715A12" w:rsidP="00715A12">
      <w:pPr>
        <w:spacing w:after="0" w:line="280" w:lineRule="atLeast"/>
        <w:jc w:val="both"/>
        <w:rPr>
          <w:rFonts w:eastAsia="Times New Roman" w:cs="Times New Roman"/>
        </w:rPr>
      </w:pPr>
    </w:p>
    <w:p w14:paraId="6B9AB1BB"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Financing for home construction or purchase is now generally available to Mono County residents at competitive rates. A number of government-assisted loan programs to enable low- and moderate-income households to construct or purchase housing are generally available to Mono County residents.</w:t>
      </w:r>
    </w:p>
    <w:p w14:paraId="28A13E15" w14:textId="77777777" w:rsidR="00715A12" w:rsidRPr="00BA6536" w:rsidRDefault="00715A12" w:rsidP="00715A12">
      <w:pPr>
        <w:spacing w:after="0" w:line="280" w:lineRule="atLeast"/>
        <w:jc w:val="both"/>
        <w:rPr>
          <w:rFonts w:eastAsia="Times New Roman" w:cs="Times New Roman"/>
        </w:rPr>
      </w:pPr>
    </w:p>
    <w:p w14:paraId="4CD77BE0"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Mono County does not have any multifamily rental housing that could be converted to market rate rents.</w:t>
      </w:r>
    </w:p>
    <w:p w14:paraId="01B82ED3" w14:textId="77777777" w:rsidR="00715A12" w:rsidRPr="00BA6536" w:rsidRDefault="00715A12" w:rsidP="00715A12">
      <w:pPr>
        <w:spacing w:after="0" w:line="280" w:lineRule="atLeast"/>
        <w:jc w:val="both"/>
        <w:rPr>
          <w:rFonts w:eastAsia="Times New Roman" w:cs="Times New Roman"/>
        </w:rPr>
      </w:pPr>
    </w:p>
    <w:p w14:paraId="11E8FE17" w14:textId="77777777" w:rsidR="00715A12" w:rsidRPr="00BA6536" w:rsidRDefault="00715A12" w:rsidP="00715A12">
      <w:pPr>
        <w:spacing w:after="0" w:line="280" w:lineRule="atLeast"/>
        <w:jc w:val="both"/>
        <w:rPr>
          <w:rFonts w:eastAsia="Times New Roman" w:cs="Times New Roman"/>
        </w:rPr>
      </w:pPr>
      <w:r w:rsidRPr="00BA6536">
        <w:rPr>
          <w:rFonts w:eastAsia="Times New Roman" w:cs="Times New Roman"/>
        </w:rPr>
        <w:t>All new development and major remodeling in Mono County must comply with state energy code requirements. The Mono County General Plan promotes alternative energy sources and encourages energy conservation. Local and state agencies provide energy assistance and weatherization programs for low-income residents in Mono County.</w:t>
      </w:r>
    </w:p>
    <w:p w14:paraId="32687CFE" w14:textId="77777777" w:rsidR="0071753C" w:rsidRPr="00BA6536" w:rsidRDefault="0071753C" w:rsidP="00715A12">
      <w:pPr>
        <w:spacing w:after="0" w:line="280" w:lineRule="atLeast"/>
        <w:jc w:val="both"/>
        <w:rPr>
          <w:rFonts w:eastAsia="Times New Roman" w:cs="Times New Roman"/>
        </w:rPr>
      </w:pPr>
    </w:p>
    <w:p w14:paraId="6D8FF570" w14:textId="77777777" w:rsidR="0071753C" w:rsidRPr="00BA6536" w:rsidRDefault="002E1FEA" w:rsidP="003D5E81">
      <w:pPr>
        <w:pStyle w:val="Heading3"/>
      </w:pPr>
      <w:bookmarkStart w:id="403" w:name="_Toc383700174"/>
      <w:r>
        <w:t xml:space="preserve">k. </w:t>
      </w:r>
      <w:r w:rsidR="0071753C" w:rsidRPr="00BA6536">
        <w:t>KEY FINDINGS BY AREA PLAN</w:t>
      </w:r>
      <w:bookmarkEnd w:id="403"/>
    </w:p>
    <w:p w14:paraId="46C7A95F" w14:textId="77777777" w:rsidR="0071753C" w:rsidRPr="00BA6536" w:rsidRDefault="0071753C" w:rsidP="00715A12">
      <w:pPr>
        <w:spacing w:after="0" w:line="280" w:lineRule="atLeast"/>
        <w:jc w:val="both"/>
        <w:rPr>
          <w:rFonts w:eastAsia="Times New Roman" w:cs="Times New Roman"/>
        </w:rPr>
      </w:pPr>
    </w:p>
    <w:p w14:paraId="74B979B3" w14:textId="77777777" w:rsidR="0071753C" w:rsidRPr="00BA6536" w:rsidRDefault="0071753C" w:rsidP="00931B2E">
      <w:pPr>
        <w:pStyle w:val="Heading4"/>
        <w:rPr>
          <w:rFonts w:eastAsia="Times New Roman" w:cs="Times New Roman"/>
        </w:rPr>
      </w:pPr>
      <w:r w:rsidRPr="00BA6536">
        <w:rPr>
          <w:rFonts w:eastAsia="Times New Roman" w:cs="Times New Roman"/>
        </w:rPr>
        <w:t xml:space="preserve">ANTELOPE VALLEY </w:t>
      </w:r>
    </w:p>
    <w:p w14:paraId="0A7EC037" w14:textId="77777777" w:rsidR="0071753C" w:rsidRPr="00BA6536" w:rsidRDefault="0071753C" w:rsidP="00715A12">
      <w:pPr>
        <w:spacing w:after="0" w:line="280" w:lineRule="atLeast"/>
        <w:jc w:val="both"/>
        <w:rPr>
          <w:rFonts w:eastAsia="Times New Roman" w:cs="Times New Roman"/>
        </w:rPr>
      </w:pPr>
    </w:p>
    <w:p w14:paraId="3BA0BEF2"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Marine base housing has great influence on regional demographics.</w:t>
      </w:r>
    </w:p>
    <w:p w14:paraId="20CA0FE6"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Population has remained relatively stable. Growth pressures not anticipated.</w:t>
      </w:r>
    </w:p>
    <w:p w14:paraId="02D0B70F"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 xml:space="preserve">Higher numbers of Hispanic, American Indian and African American persons than elsewhere in the unincorporated area. </w:t>
      </w:r>
    </w:p>
    <w:p w14:paraId="1C0B7F63"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Higher number of seniors than elsewhere in Walker and Topaz (28%) and higher number of children under 18 in Coleville (34%)</w:t>
      </w:r>
    </w:p>
    <w:p w14:paraId="0022B0A5"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 xml:space="preserve">High average family size in Coleville, average in Walker. </w:t>
      </w:r>
    </w:p>
    <w:p w14:paraId="4DDF4C7C"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Average rental rate in Walker (31%) high in Coleville (72%) low percentage of seasonally vacant homes.</w:t>
      </w:r>
    </w:p>
    <w:p w14:paraId="0A8600C7"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Lower annual median household income, 40-$50,000 per household, countywide median $62,000.</w:t>
      </w:r>
    </w:p>
    <w:p w14:paraId="51D877FB"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High travel times to work and high numbers working outside the county and outside the state.</w:t>
      </w:r>
    </w:p>
    <w:p w14:paraId="787FC008"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Higher number multifamily residences (Coleville) and mobile homes than elsewhere.</w:t>
      </w:r>
    </w:p>
    <w:p w14:paraId="57F6E9AB"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Some Mixed Use (MU) zoning in Walker that allows multifamily units.</w:t>
      </w:r>
    </w:p>
    <w:p w14:paraId="366F1B37" w14:textId="77777777" w:rsidR="00A543D8" w:rsidRPr="00BA6536" w:rsidRDefault="00A543D8" w:rsidP="00555333">
      <w:pPr>
        <w:spacing w:after="0" w:line="240" w:lineRule="auto"/>
        <w:rPr>
          <w:rFonts w:eastAsia="Times New Roman" w:cs="Times New Roman"/>
          <w:sz w:val="24"/>
          <w:szCs w:val="20"/>
        </w:rPr>
      </w:pPr>
      <w:r w:rsidRPr="00BA6536">
        <w:rPr>
          <w:rFonts w:eastAsia="Times New Roman" w:cs="Times New Roman"/>
          <w:sz w:val="24"/>
          <w:szCs w:val="20"/>
        </w:rPr>
        <w:t>Individual wells and septic systems requirements limit density.</w:t>
      </w:r>
    </w:p>
    <w:p w14:paraId="5F73DB81" w14:textId="77777777" w:rsidR="0071753C" w:rsidRPr="00BA6536" w:rsidRDefault="0071753C" w:rsidP="00715A12">
      <w:pPr>
        <w:spacing w:after="0" w:line="280" w:lineRule="atLeast"/>
        <w:jc w:val="both"/>
        <w:rPr>
          <w:rFonts w:eastAsia="Times New Roman" w:cs="Times New Roman"/>
        </w:rPr>
      </w:pPr>
    </w:p>
    <w:p w14:paraId="7AB8CB7C" w14:textId="77777777" w:rsidR="007915AE" w:rsidRPr="00BA6536" w:rsidRDefault="007915AE" w:rsidP="00715A12">
      <w:pPr>
        <w:spacing w:after="0" w:line="280" w:lineRule="atLeast"/>
        <w:jc w:val="both"/>
        <w:rPr>
          <w:rFonts w:eastAsia="Times New Roman" w:cs="Times New Roman"/>
        </w:rPr>
      </w:pPr>
    </w:p>
    <w:p w14:paraId="1E635C45" w14:textId="77777777" w:rsidR="00A543D8" w:rsidRPr="00BA6536" w:rsidRDefault="00A543D8" w:rsidP="00931B2E">
      <w:pPr>
        <w:pStyle w:val="Heading4"/>
        <w:rPr>
          <w:rFonts w:eastAsia="Times New Roman" w:cs="Times New Roman"/>
        </w:rPr>
      </w:pPr>
      <w:r w:rsidRPr="00BA6536">
        <w:rPr>
          <w:rFonts w:eastAsia="Times New Roman" w:cs="Times New Roman"/>
        </w:rPr>
        <w:t>BRIDGEPORT</w:t>
      </w:r>
    </w:p>
    <w:p w14:paraId="64D77F3B" w14:textId="77777777" w:rsidR="009F1888" w:rsidRPr="00BA6536" w:rsidRDefault="009F1888" w:rsidP="009F1888">
      <w:pPr>
        <w:spacing w:after="0" w:line="280" w:lineRule="atLeast"/>
        <w:rPr>
          <w:rFonts w:eastAsia="Times New Roman" w:cs="Times New Roman"/>
        </w:rPr>
      </w:pPr>
    </w:p>
    <w:p w14:paraId="3A38F52B" w14:textId="77777777" w:rsidR="009F1888" w:rsidRPr="00BA6536" w:rsidRDefault="009F1888" w:rsidP="009F1888">
      <w:pPr>
        <w:spacing w:after="0" w:line="280" w:lineRule="atLeast"/>
        <w:rPr>
          <w:rFonts w:eastAsia="Times New Roman" w:cs="Times New Roman"/>
        </w:rPr>
      </w:pPr>
      <w:r w:rsidRPr="00BA6536">
        <w:rPr>
          <w:rFonts w:eastAsia="Times New Roman" w:cs="Times New Roman"/>
        </w:rPr>
        <w:t>Population decreasing, 2010 census (575) equal to 1980 census.</w:t>
      </w:r>
    </w:p>
    <w:p w14:paraId="36223A54" w14:textId="77777777" w:rsidR="009F1888" w:rsidRPr="00BA6536" w:rsidRDefault="009F1888" w:rsidP="009F1888">
      <w:pPr>
        <w:spacing w:after="0" w:line="280" w:lineRule="atLeast"/>
        <w:rPr>
          <w:rFonts w:eastAsia="Times New Roman" w:cs="Times New Roman"/>
        </w:rPr>
      </w:pPr>
      <w:r w:rsidRPr="00BA6536">
        <w:rPr>
          <w:rFonts w:eastAsia="Times New Roman" w:cs="Times New Roman"/>
        </w:rPr>
        <w:t xml:space="preserve">Slightly higher numbers of Hispanic and American Indian persons than elsewhere in the unincorporated area. </w:t>
      </w:r>
    </w:p>
    <w:p w14:paraId="5A247BD6" w14:textId="77777777" w:rsidR="009F1888" w:rsidRPr="00BA6536" w:rsidRDefault="009F1888" w:rsidP="009F1888">
      <w:pPr>
        <w:spacing w:after="0" w:line="280" w:lineRule="atLeast"/>
        <w:rPr>
          <w:rFonts w:eastAsia="Times New Roman" w:cs="Times New Roman"/>
        </w:rPr>
      </w:pPr>
      <w:r w:rsidRPr="00BA6536">
        <w:rPr>
          <w:rFonts w:eastAsia="Times New Roman" w:cs="Times New Roman"/>
        </w:rPr>
        <w:t xml:space="preserve">Slightly higher number of seniors than elsewhere (17%) </w:t>
      </w:r>
    </w:p>
    <w:p w14:paraId="44AF99FB" w14:textId="77777777" w:rsidR="009F1888" w:rsidRPr="00BA6536" w:rsidRDefault="009F1888" w:rsidP="009F1888">
      <w:pPr>
        <w:spacing w:after="0" w:line="280" w:lineRule="atLeast"/>
        <w:rPr>
          <w:rFonts w:eastAsia="Times New Roman" w:cs="Times New Roman"/>
        </w:rPr>
      </w:pPr>
      <w:r w:rsidRPr="00BA6536">
        <w:rPr>
          <w:rFonts w:eastAsia="Times New Roman" w:cs="Times New Roman"/>
        </w:rPr>
        <w:t xml:space="preserve">Low average household size (2.18), very high percentage of 1 person households (34%). </w:t>
      </w:r>
    </w:p>
    <w:p w14:paraId="1FB318D6" w14:textId="77777777" w:rsidR="009F1888" w:rsidRPr="00BA6536" w:rsidRDefault="009F1888" w:rsidP="009F1888">
      <w:pPr>
        <w:spacing w:after="0" w:line="280" w:lineRule="atLeast"/>
        <w:rPr>
          <w:rFonts w:eastAsia="Times New Roman" w:cs="Times New Roman"/>
        </w:rPr>
      </w:pPr>
      <w:r w:rsidRPr="00BA6536">
        <w:rPr>
          <w:rFonts w:eastAsia="Times New Roman" w:cs="Times New Roman"/>
        </w:rPr>
        <w:t>Slightly above average rental rate (38%) low percentage of seasonally vacant homes (13%).</w:t>
      </w:r>
    </w:p>
    <w:p w14:paraId="34CC9DBD" w14:textId="77777777" w:rsidR="009F1888" w:rsidRPr="00BA6536" w:rsidRDefault="009F1888" w:rsidP="009F1888">
      <w:pPr>
        <w:spacing w:after="0" w:line="280" w:lineRule="atLeast"/>
        <w:rPr>
          <w:rFonts w:eastAsia="Times New Roman" w:cs="Times New Roman"/>
        </w:rPr>
      </w:pPr>
      <w:r w:rsidRPr="00BA6536">
        <w:rPr>
          <w:rFonts w:eastAsia="Times New Roman" w:cs="Times New Roman"/>
        </w:rPr>
        <w:t>Higher annual median household income, $71,000 per household, countywide median $62,000.</w:t>
      </w:r>
    </w:p>
    <w:p w14:paraId="28CC26E4" w14:textId="77777777" w:rsidR="009F1888" w:rsidRPr="00BA6536" w:rsidRDefault="009F1888" w:rsidP="009F1888">
      <w:pPr>
        <w:spacing w:after="0" w:line="280" w:lineRule="atLeast"/>
        <w:rPr>
          <w:rFonts w:eastAsia="Times New Roman" w:cs="Times New Roman"/>
        </w:rPr>
      </w:pPr>
      <w:r w:rsidRPr="00BA6536">
        <w:rPr>
          <w:rFonts w:eastAsia="Times New Roman" w:cs="Times New Roman"/>
        </w:rPr>
        <w:t>Oldest housing stock in the county, 65% of housing over 30 years old, only 9% less than 10.</w:t>
      </w:r>
    </w:p>
    <w:p w14:paraId="3AFCBA64" w14:textId="77777777" w:rsidR="009F1888" w:rsidRPr="00BA6536" w:rsidRDefault="009F1888" w:rsidP="009F1888">
      <w:pPr>
        <w:spacing w:after="0" w:line="280" w:lineRule="atLeast"/>
        <w:rPr>
          <w:rFonts w:eastAsia="Times New Roman" w:cs="Times New Roman"/>
        </w:rPr>
      </w:pPr>
      <w:r w:rsidRPr="00BA6536">
        <w:rPr>
          <w:rFonts w:eastAsia="Times New Roman" w:cs="Times New Roman"/>
        </w:rPr>
        <w:t xml:space="preserve">Land uses allow for high density, existing infrastructure allows for high density. </w:t>
      </w:r>
    </w:p>
    <w:p w14:paraId="0C8765B3" w14:textId="77777777" w:rsidR="009F1888" w:rsidRPr="00BA6536" w:rsidRDefault="009F1888" w:rsidP="00715A12">
      <w:pPr>
        <w:spacing w:after="0" w:line="280" w:lineRule="atLeast"/>
        <w:jc w:val="both"/>
        <w:rPr>
          <w:rFonts w:eastAsia="Times New Roman" w:cs="Times New Roman"/>
        </w:rPr>
      </w:pPr>
    </w:p>
    <w:p w14:paraId="41552F90" w14:textId="77777777" w:rsidR="00A543D8" w:rsidRPr="00BA6536" w:rsidRDefault="00A543D8" w:rsidP="00931B2E">
      <w:pPr>
        <w:pStyle w:val="Heading4"/>
        <w:rPr>
          <w:rFonts w:eastAsia="Times New Roman" w:cs="Times New Roman"/>
        </w:rPr>
      </w:pPr>
      <w:r w:rsidRPr="00BA6536">
        <w:rPr>
          <w:rFonts w:eastAsia="Times New Roman" w:cs="Times New Roman"/>
        </w:rPr>
        <w:t>MONO BASIN</w:t>
      </w:r>
    </w:p>
    <w:p w14:paraId="7C0E6F3E" w14:textId="77777777" w:rsidR="009B0D93" w:rsidRPr="00BA6536" w:rsidRDefault="00503BB9" w:rsidP="00715A12">
      <w:pPr>
        <w:spacing w:after="0" w:line="280" w:lineRule="atLeast"/>
        <w:jc w:val="both"/>
        <w:rPr>
          <w:rFonts w:eastAsia="Times New Roman" w:cs="Times New Roman"/>
        </w:rPr>
      </w:pPr>
      <w:r w:rsidRPr="00BA6536">
        <w:rPr>
          <w:rFonts w:eastAsia="Times New Roman" w:cs="Times New Roman"/>
        </w:rPr>
        <w:t>High percentage of children under 18 and large household size.</w:t>
      </w:r>
    </w:p>
    <w:p w14:paraId="50CE85BF" w14:textId="77777777"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Low percentage of seniors over 65.</w:t>
      </w:r>
    </w:p>
    <w:p w14:paraId="1DEDE3B4" w14:textId="77777777" w:rsidR="00F7259F" w:rsidRPr="00BA6536" w:rsidRDefault="00F7259F" w:rsidP="00715A12">
      <w:pPr>
        <w:spacing w:after="0" w:line="280" w:lineRule="atLeast"/>
        <w:jc w:val="both"/>
        <w:rPr>
          <w:rFonts w:eastAsia="Times New Roman" w:cs="Times New Roman"/>
        </w:rPr>
      </w:pPr>
      <w:r w:rsidRPr="00BA6536">
        <w:rPr>
          <w:rFonts w:eastAsia="Times New Roman" w:cs="Times New Roman"/>
        </w:rPr>
        <w:t>Second lowest median age in county (30).</w:t>
      </w:r>
    </w:p>
    <w:p w14:paraId="4A4538C5" w14:textId="77777777" w:rsidR="00503BB9" w:rsidRPr="00BA6536" w:rsidRDefault="00F7259F" w:rsidP="00715A12">
      <w:pPr>
        <w:spacing w:after="0" w:line="280" w:lineRule="atLeast"/>
        <w:jc w:val="both"/>
        <w:rPr>
          <w:rFonts w:eastAsia="Times New Roman" w:cs="Times New Roman"/>
        </w:rPr>
      </w:pPr>
      <w:r w:rsidRPr="00BA6536">
        <w:rPr>
          <w:rFonts w:eastAsia="Times New Roman" w:cs="Times New Roman"/>
        </w:rPr>
        <w:t xml:space="preserve">In community of Lee Vining land uses and infrastructure allow for high density. </w:t>
      </w:r>
    </w:p>
    <w:p w14:paraId="5C9FC93D" w14:textId="77777777" w:rsidR="00503BB9" w:rsidRPr="00BA6536" w:rsidRDefault="00F7259F" w:rsidP="00715A12">
      <w:pPr>
        <w:spacing w:after="0" w:line="280" w:lineRule="atLeast"/>
        <w:jc w:val="both"/>
        <w:rPr>
          <w:rFonts w:eastAsia="Times New Roman" w:cs="Times New Roman"/>
        </w:rPr>
      </w:pPr>
      <w:r w:rsidRPr="00BA6536">
        <w:rPr>
          <w:rFonts w:eastAsia="Times New Roman" w:cs="Times New Roman"/>
        </w:rPr>
        <w:t xml:space="preserve">Higher percentage of Hispanic persons than other communities. </w:t>
      </w:r>
    </w:p>
    <w:p w14:paraId="78F803AC" w14:textId="77777777" w:rsidR="00F7259F" w:rsidRPr="00BA6536" w:rsidRDefault="007915AE" w:rsidP="00715A12">
      <w:pPr>
        <w:spacing w:after="0" w:line="280" w:lineRule="atLeast"/>
        <w:jc w:val="both"/>
        <w:rPr>
          <w:rFonts w:eastAsia="Times New Roman" w:cs="Times New Roman"/>
        </w:rPr>
      </w:pPr>
      <w:r w:rsidRPr="00BA6536">
        <w:rPr>
          <w:rFonts w:eastAsia="Times New Roman" w:cs="Times New Roman"/>
        </w:rPr>
        <w:t>Average median income.</w:t>
      </w:r>
    </w:p>
    <w:p w14:paraId="5DB1C782" w14:textId="77777777" w:rsidR="007915AE" w:rsidRPr="00BA6536" w:rsidRDefault="007915AE" w:rsidP="00715A12">
      <w:pPr>
        <w:spacing w:after="0" w:line="280" w:lineRule="atLeast"/>
        <w:jc w:val="both"/>
        <w:rPr>
          <w:rFonts w:eastAsia="Times New Roman" w:cs="Times New Roman"/>
        </w:rPr>
      </w:pPr>
    </w:p>
    <w:p w14:paraId="083FA0F8" w14:textId="77777777" w:rsidR="007915AE" w:rsidRPr="00BA6536" w:rsidRDefault="007915AE" w:rsidP="00715A12">
      <w:pPr>
        <w:spacing w:after="0" w:line="280" w:lineRule="atLeast"/>
        <w:jc w:val="both"/>
        <w:rPr>
          <w:rFonts w:eastAsia="Times New Roman" w:cs="Times New Roman"/>
        </w:rPr>
      </w:pPr>
    </w:p>
    <w:p w14:paraId="0C0EFC4D" w14:textId="77777777" w:rsidR="00F7259F" w:rsidRPr="00BA6536" w:rsidRDefault="000F20E2" w:rsidP="00931B2E">
      <w:pPr>
        <w:pStyle w:val="Heading4"/>
        <w:rPr>
          <w:rFonts w:eastAsia="Times New Roman" w:cs="Times New Roman"/>
        </w:rPr>
      </w:pPr>
      <w:r w:rsidRPr="00BA6536">
        <w:rPr>
          <w:rFonts w:eastAsia="Times New Roman" w:cs="Times New Roman"/>
        </w:rPr>
        <w:t>JUNE LAKE</w:t>
      </w:r>
    </w:p>
    <w:p w14:paraId="35F1BDE9" w14:textId="77777777"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Very High Seasonal Vacancy Rate (59%)</w:t>
      </w:r>
    </w:p>
    <w:p w14:paraId="160F665E" w14:textId="77777777"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Total vacancy rate 65%.</w:t>
      </w:r>
    </w:p>
    <w:p w14:paraId="67D6EC01" w14:textId="77777777"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High percentage of renter occupied units (46%)</w:t>
      </w:r>
    </w:p>
    <w:p w14:paraId="3B28C39F" w14:textId="77777777"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High percentage of poor quality housing stock, especially mobile homes.</w:t>
      </w:r>
    </w:p>
    <w:p w14:paraId="25E57BC3" w14:textId="77777777"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Slightly below average number of children under 18 and seniors over 65.</w:t>
      </w:r>
    </w:p>
    <w:p w14:paraId="6FC9A8E0" w14:textId="77777777" w:rsidR="007915AE" w:rsidRPr="00BA6536" w:rsidRDefault="007915AE" w:rsidP="00715A12">
      <w:pPr>
        <w:spacing w:after="0" w:line="280" w:lineRule="atLeast"/>
        <w:jc w:val="both"/>
        <w:rPr>
          <w:rFonts w:eastAsia="Times New Roman" w:cs="Times New Roman"/>
        </w:rPr>
      </w:pPr>
      <w:r w:rsidRPr="00BA6536">
        <w:rPr>
          <w:rFonts w:eastAsia="Times New Roman" w:cs="Times New Roman"/>
        </w:rPr>
        <w:t xml:space="preserve">Below average median income. </w:t>
      </w:r>
    </w:p>
    <w:p w14:paraId="26608CB1" w14:textId="77777777" w:rsidR="000F20E2" w:rsidRPr="00BA6536" w:rsidRDefault="007915AE" w:rsidP="00715A12">
      <w:pPr>
        <w:spacing w:after="0" w:line="280" w:lineRule="atLeast"/>
        <w:jc w:val="both"/>
        <w:rPr>
          <w:rFonts w:eastAsia="Times New Roman" w:cs="Times New Roman"/>
        </w:rPr>
      </w:pPr>
      <w:r w:rsidRPr="00BA6536">
        <w:rPr>
          <w:rFonts w:eastAsia="Times New Roman" w:cs="Times New Roman"/>
        </w:rPr>
        <w:t xml:space="preserve">Highest percentage of multi-family housing. </w:t>
      </w:r>
    </w:p>
    <w:p w14:paraId="61022AC1" w14:textId="77777777" w:rsidR="007915AE" w:rsidRPr="00BA6536" w:rsidRDefault="007915AE" w:rsidP="007915AE">
      <w:pPr>
        <w:spacing w:after="0" w:line="280" w:lineRule="atLeast"/>
        <w:jc w:val="both"/>
        <w:rPr>
          <w:rFonts w:eastAsia="Times New Roman" w:cs="Times New Roman"/>
        </w:rPr>
      </w:pPr>
    </w:p>
    <w:p w14:paraId="2B2F20C1" w14:textId="77777777" w:rsidR="007915AE" w:rsidRPr="00BA6536" w:rsidRDefault="007915AE" w:rsidP="00715A12">
      <w:pPr>
        <w:spacing w:after="0" w:line="280" w:lineRule="atLeast"/>
        <w:jc w:val="both"/>
        <w:rPr>
          <w:rFonts w:eastAsia="Times New Roman" w:cs="Times New Roman"/>
        </w:rPr>
      </w:pPr>
    </w:p>
    <w:p w14:paraId="4A086281" w14:textId="77777777" w:rsidR="00A543D8" w:rsidRPr="00BA6536" w:rsidRDefault="00A44888" w:rsidP="00931B2E">
      <w:pPr>
        <w:pStyle w:val="Heading4"/>
        <w:rPr>
          <w:rFonts w:eastAsia="Times New Roman" w:cs="Times New Roman"/>
        </w:rPr>
      </w:pPr>
      <w:r w:rsidRPr="00BA6536">
        <w:rPr>
          <w:rFonts w:eastAsia="Times New Roman" w:cs="Times New Roman"/>
        </w:rPr>
        <w:t>BENTON, CHALFANT</w:t>
      </w:r>
    </w:p>
    <w:p w14:paraId="3EB7D943" w14:textId="77777777" w:rsidR="00A22499" w:rsidRPr="00BA6536" w:rsidRDefault="00A22499" w:rsidP="00715A12">
      <w:pPr>
        <w:spacing w:after="0" w:line="280" w:lineRule="atLeast"/>
        <w:jc w:val="both"/>
        <w:rPr>
          <w:rFonts w:eastAsia="Times New Roman" w:cs="Times New Roman"/>
        </w:rPr>
      </w:pPr>
      <w:r w:rsidRPr="00BA6536">
        <w:rPr>
          <w:rFonts w:eastAsia="Times New Roman" w:cs="Times New Roman"/>
        </w:rPr>
        <w:t>V</w:t>
      </w:r>
      <w:r w:rsidR="007915AE" w:rsidRPr="00BA6536">
        <w:rPr>
          <w:rFonts w:eastAsia="Times New Roman" w:cs="Times New Roman"/>
        </w:rPr>
        <w:t xml:space="preserve">ery low median household income in Benton, below average in Chalfant. </w:t>
      </w:r>
    </w:p>
    <w:p w14:paraId="2E16B67C" w14:textId="77777777" w:rsidR="00F7259F" w:rsidRPr="00BA6536" w:rsidRDefault="00F7259F" w:rsidP="00715A12">
      <w:pPr>
        <w:spacing w:after="0" w:line="280" w:lineRule="atLeast"/>
        <w:jc w:val="both"/>
        <w:rPr>
          <w:rFonts w:eastAsia="Times New Roman" w:cs="Times New Roman"/>
        </w:rPr>
      </w:pPr>
      <w:r w:rsidRPr="00BA6536">
        <w:rPr>
          <w:rFonts w:eastAsia="Times New Roman" w:cs="Times New Roman"/>
        </w:rPr>
        <w:t>Highest percentage of American Indian in county (18%).</w:t>
      </w:r>
    </w:p>
    <w:p w14:paraId="3863700A" w14:textId="77777777" w:rsidR="00F7259F" w:rsidRPr="00BA6536" w:rsidRDefault="00F7259F" w:rsidP="00715A12">
      <w:pPr>
        <w:spacing w:after="0" w:line="280" w:lineRule="atLeast"/>
        <w:jc w:val="both"/>
        <w:rPr>
          <w:rFonts w:eastAsia="Times New Roman" w:cs="Times New Roman"/>
        </w:rPr>
      </w:pPr>
      <w:r w:rsidRPr="00BA6536">
        <w:rPr>
          <w:rFonts w:eastAsia="Times New Roman" w:cs="Times New Roman"/>
        </w:rPr>
        <w:t>Low percentage of seasonal vacancies.</w:t>
      </w:r>
    </w:p>
    <w:p w14:paraId="59CE03ED" w14:textId="77777777" w:rsidR="00F7259F" w:rsidRPr="00BA6536" w:rsidRDefault="007915AE" w:rsidP="00715A12">
      <w:pPr>
        <w:spacing w:after="0" w:line="280" w:lineRule="atLeast"/>
        <w:jc w:val="both"/>
        <w:rPr>
          <w:rFonts w:eastAsia="Times New Roman" w:cs="Times New Roman"/>
        </w:rPr>
      </w:pPr>
      <w:r w:rsidRPr="00BA6536">
        <w:rPr>
          <w:rFonts w:eastAsia="Times New Roman" w:cs="Times New Roman"/>
        </w:rPr>
        <w:t>In Ch</w:t>
      </w:r>
      <w:r w:rsidR="00A44888" w:rsidRPr="00BA6536">
        <w:rPr>
          <w:rFonts w:eastAsia="Times New Roman" w:cs="Times New Roman"/>
        </w:rPr>
        <w:t>alfant Lowest total vacancy rate in the county (12%).</w:t>
      </w:r>
    </w:p>
    <w:p w14:paraId="4F798233" w14:textId="77777777" w:rsidR="00555333" w:rsidRPr="00BA6536" w:rsidRDefault="00555333" w:rsidP="00715A12">
      <w:pPr>
        <w:spacing w:after="0" w:line="280" w:lineRule="atLeast"/>
        <w:jc w:val="both"/>
        <w:rPr>
          <w:rFonts w:eastAsia="Times New Roman" w:cs="Times New Roman"/>
          <w:highlight w:val="yellow"/>
        </w:rPr>
      </w:pPr>
    </w:p>
    <w:p w14:paraId="0384B5F9" w14:textId="77777777" w:rsidR="00A543D8" w:rsidRPr="00BA6536" w:rsidRDefault="00A543D8" w:rsidP="00931B2E">
      <w:pPr>
        <w:pStyle w:val="Heading4"/>
        <w:rPr>
          <w:rFonts w:eastAsia="Times New Roman" w:cs="Times New Roman"/>
          <w:highlight w:val="yellow"/>
        </w:rPr>
      </w:pPr>
      <w:r w:rsidRPr="00BA6536">
        <w:rPr>
          <w:rFonts w:eastAsia="Times New Roman" w:cs="Times New Roman"/>
        </w:rPr>
        <w:t>LONG VALLEY</w:t>
      </w:r>
      <w:r w:rsidR="00A44888" w:rsidRPr="00BA6536">
        <w:rPr>
          <w:rFonts w:eastAsia="Times New Roman" w:cs="Times New Roman"/>
        </w:rPr>
        <w:t>, SWALL MEADOWS, PARADISE</w:t>
      </w:r>
    </w:p>
    <w:p w14:paraId="1545C3F6"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Continue to see growth pressure from Mammoth.</w:t>
      </w:r>
    </w:p>
    <w:p w14:paraId="307B782E"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High/Very High percentage of owner occupied units. 96% in Paradise. </w:t>
      </w:r>
    </w:p>
    <w:p w14:paraId="0BBE3EF3"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Household income well above countywide average in all three communities. </w:t>
      </w:r>
    </w:p>
    <w:p w14:paraId="1C81B9A2"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Very low average household size in Paradise/Swall. Slightly below average in Crowley.</w:t>
      </w:r>
    </w:p>
    <w:p w14:paraId="37BB4F06"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Very high median age, high percentage of seniors over 65 in Paradise/Swall and low % under 18.</w:t>
      </w:r>
    </w:p>
    <w:p w14:paraId="27D3647C"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In Crowley, just below average percentage of seniors, just above average children under 18. </w:t>
      </w:r>
    </w:p>
    <w:p w14:paraId="73C2B193"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Low percentage of seasonal vacant homes (10-20%). Except Sunny Slopes (44%) </w:t>
      </w:r>
    </w:p>
    <w:p w14:paraId="0F234E04"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Below average ethnic diversity.  One exception is highest percentage of Asian 3-4% in all communities. </w:t>
      </w:r>
    </w:p>
    <w:p w14:paraId="58749B6F"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Hispanic population well below average except in Crowley slightly below average.  </w:t>
      </w:r>
    </w:p>
    <w:p w14:paraId="0C7BE312"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Housing stock generally in Good/Fair condition.  1% poor, compared to 15% countywide. </w:t>
      </w:r>
    </w:p>
    <w:p w14:paraId="07C2D2AE"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Wide mix in age of housing stock.  Just over 50% of housing stock less than 20 years old.</w:t>
      </w:r>
    </w:p>
    <w:p w14:paraId="581905F9"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Highest median home prices, most volatile real estate markets.  </w:t>
      </w:r>
    </w:p>
    <w:p w14:paraId="5306F41A" w14:textId="77777777" w:rsidR="00A44888" w:rsidRPr="00BA6536" w:rsidRDefault="00A44888" w:rsidP="00A44888">
      <w:pPr>
        <w:spacing w:after="0" w:line="280" w:lineRule="atLeast"/>
        <w:rPr>
          <w:rFonts w:eastAsia="Times New Roman" w:cs="Times New Roman"/>
        </w:rPr>
      </w:pPr>
      <w:r w:rsidRPr="00BA6536">
        <w:rPr>
          <w:rFonts w:eastAsia="Times New Roman" w:cs="Times New Roman"/>
        </w:rPr>
        <w:t xml:space="preserve">Mixed Use and SP Land Use Designations in Crowley allows for multi-family residential development. </w:t>
      </w:r>
    </w:p>
    <w:p w14:paraId="4CCF70B2" w14:textId="77777777" w:rsidR="007915AE" w:rsidRPr="00BA6536" w:rsidRDefault="007915AE" w:rsidP="007915AE">
      <w:pPr>
        <w:spacing w:after="0" w:line="280" w:lineRule="atLeast"/>
        <w:jc w:val="both"/>
        <w:rPr>
          <w:rFonts w:eastAsia="Times New Roman" w:cs="Times New Roman"/>
        </w:rPr>
      </w:pPr>
    </w:p>
    <w:p w14:paraId="4D23420B" w14:textId="77777777" w:rsidR="003D5E81" w:rsidRPr="00BA6536" w:rsidRDefault="002E1FEA" w:rsidP="00556E5A">
      <w:pPr>
        <w:pStyle w:val="Heading3"/>
      </w:pPr>
      <w:bookmarkStart w:id="404" w:name="_Toc383700175"/>
      <w:r>
        <w:t xml:space="preserve">l. </w:t>
      </w:r>
      <w:r w:rsidR="003D5E81" w:rsidRPr="00BA6536">
        <w:t>COMMENTS RECEIVED FROM RPAC OUTREACH 2014</w:t>
      </w:r>
      <w:bookmarkEnd w:id="404"/>
    </w:p>
    <w:p w14:paraId="5CA9709E" w14:textId="77777777" w:rsidR="00556E5A" w:rsidRPr="00BA6536" w:rsidRDefault="00556E5A" w:rsidP="00556E5A">
      <w:pPr>
        <w:spacing w:after="0"/>
      </w:pPr>
    </w:p>
    <w:p w14:paraId="6B524852" w14:textId="77777777" w:rsidR="003D5E81" w:rsidRPr="00BA6536" w:rsidRDefault="003D5E81" w:rsidP="007915AE">
      <w:pPr>
        <w:spacing w:after="0" w:line="280" w:lineRule="atLeast"/>
        <w:jc w:val="both"/>
        <w:rPr>
          <w:rFonts w:eastAsia="Times New Roman" w:cs="Times New Roman"/>
        </w:rPr>
      </w:pPr>
      <w:r w:rsidRPr="00BA6536">
        <w:rPr>
          <w:rFonts w:eastAsia="Times New Roman" w:cs="Times New Roman"/>
        </w:rPr>
        <w:t>Crowley, Wheeler Crest, Paradise</w:t>
      </w:r>
    </w:p>
    <w:p w14:paraId="4EAD5358" w14:textId="77777777" w:rsidR="00A2260C" w:rsidRPr="00BA6536" w:rsidRDefault="00A2260C" w:rsidP="007915AE">
      <w:pPr>
        <w:spacing w:after="0" w:line="280" w:lineRule="atLeast"/>
        <w:jc w:val="both"/>
        <w:rPr>
          <w:rFonts w:eastAsia="Times New Roman" w:cs="Times New Roman"/>
        </w:rPr>
      </w:pPr>
      <w:r w:rsidRPr="00BA6536">
        <w:rPr>
          <w:rFonts w:eastAsia="Times New Roman" w:cs="Times New Roman"/>
        </w:rPr>
        <w:t>RPAC 3/26/14</w:t>
      </w:r>
    </w:p>
    <w:p w14:paraId="6A6343FD" w14:textId="77777777" w:rsidR="007915AE" w:rsidRPr="00BA6536" w:rsidRDefault="002720D9" w:rsidP="007915AE">
      <w:pPr>
        <w:spacing w:after="0" w:line="280" w:lineRule="atLeast"/>
        <w:jc w:val="both"/>
        <w:rPr>
          <w:rFonts w:eastAsia="Times New Roman" w:cs="Times New Roman"/>
        </w:rPr>
      </w:pPr>
      <w:r w:rsidRPr="00BA6536">
        <w:rPr>
          <w:rFonts w:eastAsia="Times New Roman" w:cs="Times New Roman"/>
        </w:rPr>
        <w:t xml:space="preserve">Water limitations must be considered.  </w:t>
      </w:r>
    </w:p>
    <w:p w14:paraId="7D3425C3" w14:textId="77777777" w:rsidR="002720D9" w:rsidRPr="00BA6536" w:rsidRDefault="002720D9" w:rsidP="007915AE">
      <w:pPr>
        <w:spacing w:after="0" w:line="280" w:lineRule="atLeast"/>
        <w:jc w:val="both"/>
        <w:rPr>
          <w:rFonts w:eastAsia="Times New Roman" w:cs="Times New Roman"/>
        </w:rPr>
      </w:pPr>
      <w:r w:rsidRPr="00BA6536">
        <w:rPr>
          <w:rFonts w:eastAsia="Times New Roman" w:cs="Times New Roman"/>
        </w:rPr>
        <w:t xml:space="preserve">Consider a LAFCO study regarding merger of existing sewer district and water companies. </w:t>
      </w:r>
    </w:p>
    <w:p w14:paraId="54999669" w14:textId="77777777" w:rsidR="002720D9" w:rsidRPr="00BA6536" w:rsidRDefault="002720D9" w:rsidP="007915AE">
      <w:pPr>
        <w:spacing w:after="0" w:line="280" w:lineRule="atLeast"/>
        <w:jc w:val="both"/>
        <w:rPr>
          <w:rFonts w:eastAsia="Times New Roman" w:cs="Times New Roman"/>
        </w:rPr>
      </w:pPr>
      <w:r w:rsidRPr="00BA6536">
        <w:rPr>
          <w:rFonts w:eastAsia="Times New Roman" w:cs="Times New Roman"/>
        </w:rPr>
        <w:t xml:space="preserve">Water and sewer systems need capital funds as the lack of construction has resulted in no new fees being generated. </w:t>
      </w:r>
    </w:p>
    <w:p w14:paraId="232C1BA1" w14:textId="77777777" w:rsidR="002720D9" w:rsidRPr="00BA6536" w:rsidRDefault="002720D9" w:rsidP="007915AE">
      <w:pPr>
        <w:spacing w:after="0" w:line="280" w:lineRule="atLeast"/>
        <w:jc w:val="both"/>
        <w:rPr>
          <w:rFonts w:eastAsia="Times New Roman" w:cs="Times New Roman"/>
        </w:rPr>
      </w:pPr>
      <w:r w:rsidRPr="00BA6536">
        <w:rPr>
          <w:rFonts w:eastAsia="Times New Roman" w:cs="Times New Roman"/>
        </w:rPr>
        <w:t xml:space="preserve">Consider a program to assist mobile home renters in purchase of home with willing seller. </w:t>
      </w:r>
    </w:p>
    <w:p w14:paraId="6E2CAF06" w14:textId="77777777" w:rsidR="002720D9" w:rsidRPr="00BA6536" w:rsidRDefault="002720D9" w:rsidP="007915AE">
      <w:pPr>
        <w:spacing w:after="0" w:line="280" w:lineRule="atLeast"/>
        <w:jc w:val="both"/>
        <w:rPr>
          <w:rFonts w:eastAsia="Times New Roman" w:cs="Times New Roman"/>
        </w:rPr>
      </w:pPr>
      <w:r w:rsidRPr="00BA6536">
        <w:rPr>
          <w:rFonts w:eastAsia="Times New Roman" w:cs="Times New Roman"/>
        </w:rPr>
        <w:t xml:space="preserve">Young adults continue to find housing in Crowley as it is more affordable than Mammoth. </w:t>
      </w:r>
    </w:p>
    <w:p w14:paraId="43437A95" w14:textId="77777777" w:rsidR="00556E5A" w:rsidRPr="00BA6536" w:rsidRDefault="00556E5A" w:rsidP="00556E5A">
      <w:pPr>
        <w:spacing w:after="0" w:line="280" w:lineRule="atLeast"/>
        <w:jc w:val="both"/>
        <w:rPr>
          <w:rFonts w:eastAsia="Times New Roman" w:cs="Times New Roman"/>
        </w:rPr>
      </w:pPr>
    </w:p>
    <w:p w14:paraId="0EC27448" w14:textId="77777777"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Chalfant, Benton</w:t>
      </w:r>
    </w:p>
    <w:p w14:paraId="54F3B2F1" w14:textId="77777777" w:rsidR="00A2260C" w:rsidRPr="00BA6536" w:rsidRDefault="00A2260C" w:rsidP="00556E5A">
      <w:pPr>
        <w:spacing w:after="0" w:line="280" w:lineRule="atLeast"/>
        <w:jc w:val="both"/>
        <w:rPr>
          <w:rFonts w:eastAsia="Times New Roman" w:cs="Times New Roman"/>
        </w:rPr>
      </w:pPr>
      <w:r w:rsidRPr="00BA6536">
        <w:rPr>
          <w:rFonts w:eastAsia="Times New Roman" w:cs="Times New Roman"/>
        </w:rPr>
        <w:t>RPAC 3/17/14</w:t>
      </w:r>
    </w:p>
    <w:p w14:paraId="242497A7" w14:textId="77777777"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Would like to see program that incentivizes junk removal from properties.</w:t>
      </w:r>
    </w:p>
    <w:p w14:paraId="2ADA9BD0" w14:textId="77777777" w:rsidR="00556E5A" w:rsidRPr="00BA6536" w:rsidRDefault="00556E5A" w:rsidP="00556E5A">
      <w:pPr>
        <w:spacing w:after="0" w:line="280" w:lineRule="atLeast"/>
        <w:jc w:val="both"/>
        <w:rPr>
          <w:rFonts w:eastAsia="Times New Roman" w:cs="Times New Roman"/>
        </w:rPr>
      </w:pPr>
    </w:p>
    <w:p w14:paraId="1F98529B" w14:textId="77777777"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Bridgeport</w:t>
      </w:r>
    </w:p>
    <w:p w14:paraId="31A5C832" w14:textId="77777777" w:rsidR="00A2260C" w:rsidRPr="00BA6536" w:rsidRDefault="00A2260C" w:rsidP="00556E5A">
      <w:pPr>
        <w:spacing w:after="0" w:line="280" w:lineRule="atLeast"/>
        <w:jc w:val="both"/>
        <w:rPr>
          <w:rFonts w:eastAsia="Times New Roman" w:cs="Times New Roman"/>
        </w:rPr>
      </w:pPr>
      <w:r w:rsidRPr="00BA6536">
        <w:rPr>
          <w:rFonts w:eastAsia="Times New Roman" w:cs="Times New Roman"/>
        </w:rPr>
        <w:t>RPAC 2/20/14, 3/20/14</w:t>
      </w:r>
    </w:p>
    <w:p w14:paraId="3FFDEF5F" w14:textId="77777777" w:rsidR="00556E5A" w:rsidRPr="00BA6536" w:rsidRDefault="00556E5A" w:rsidP="00556E5A">
      <w:pPr>
        <w:spacing w:after="0"/>
      </w:pPr>
      <w:r w:rsidRPr="00BA6536">
        <w:t xml:space="preserve">Rentals are typically available but can be seasonally limited.  </w:t>
      </w:r>
    </w:p>
    <w:p w14:paraId="0BD4D4C0" w14:textId="77777777" w:rsidR="00556E5A" w:rsidRPr="00BA6536" w:rsidRDefault="00556E5A" w:rsidP="00556E5A">
      <w:pPr>
        <w:spacing w:after="0"/>
      </w:pPr>
      <w:r w:rsidRPr="00BA6536">
        <w:t>Affordable housing stock is old, typically 30-40 year old mobile homes and older apartments.</w:t>
      </w:r>
    </w:p>
    <w:p w14:paraId="7EF276EE" w14:textId="77777777" w:rsidR="00556E5A" w:rsidRPr="00BA6536" w:rsidRDefault="00556E5A" w:rsidP="00556E5A">
      <w:pPr>
        <w:spacing w:after="0"/>
      </w:pPr>
      <w:r w:rsidRPr="00BA6536">
        <w:t xml:space="preserve">No new apartments have been built for decades. </w:t>
      </w:r>
    </w:p>
    <w:p w14:paraId="36C9769B" w14:textId="77777777"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Vacation homes are not available or feasible as seasonal workforce rentals.</w:t>
      </w:r>
    </w:p>
    <w:p w14:paraId="69D7F2BF" w14:textId="77777777"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Real estate market is influenced by very limited supply.</w:t>
      </w:r>
    </w:p>
    <w:p w14:paraId="1C886C72" w14:textId="77777777"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Vacation/second homes typically are not utilized in winter.</w:t>
      </w:r>
    </w:p>
    <w:p w14:paraId="38B509D6" w14:textId="77777777"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 xml:space="preserve">Low winter population results in most businesses operating successfully. </w:t>
      </w:r>
    </w:p>
    <w:p w14:paraId="144727F8" w14:textId="77777777"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Cost of construction including increased regulations continues to increase, resulting in conventionally built homes no longer feasible for middle class.</w:t>
      </w:r>
    </w:p>
    <w:p w14:paraId="08D504AD" w14:textId="77777777" w:rsidR="00556E5A" w:rsidRPr="00BA6536" w:rsidRDefault="00556E5A" w:rsidP="00556E5A">
      <w:pPr>
        <w:spacing w:after="0" w:line="280" w:lineRule="atLeast"/>
        <w:jc w:val="both"/>
        <w:rPr>
          <w:rFonts w:eastAsia="Times New Roman" w:cs="Times New Roman"/>
        </w:rPr>
      </w:pPr>
    </w:p>
    <w:p w14:paraId="6F21216F" w14:textId="77777777"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Antelope Valley</w:t>
      </w:r>
      <w:r w:rsidR="00A2260C" w:rsidRPr="00BA6536">
        <w:rPr>
          <w:rFonts w:eastAsia="Times New Roman" w:cs="Times New Roman"/>
        </w:rPr>
        <w:t xml:space="preserve"> 2/6/14, 3/6/14</w:t>
      </w:r>
    </w:p>
    <w:p w14:paraId="650C8F31" w14:textId="77777777" w:rsidR="00556E5A" w:rsidRPr="00BA6536" w:rsidRDefault="00556E5A" w:rsidP="00556E5A">
      <w:pPr>
        <w:spacing w:after="0" w:line="280" w:lineRule="atLeast"/>
        <w:jc w:val="both"/>
        <w:rPr>
          <w:rFonts w:eastAsia="Times New Roman" w:cs="Times New Roman"/>
        </w:rPr>
      </w:pPr>
      <w:r w:rsidRPr="00BA6536">
        <w:rPr>
          <w:rFonts w:eastAsia="Times New Roman" w:cs="Times New Roman"/>
        </w:rPr>
        <w:t>Why does the state require an update every 5 years?</w:t>
      </w:r>
    </w:p>
    <w:p w14:paraId="2DDE2BFC" w14:textId="77777777" w:rsidR="00D826AC" w:rsidRPr="00BA6536" w:rsidRDefault="00D826AC" w:rsidP="00715A12">
      <w:pPr>
        <w:spacing w:after="0" w:line="280" w:lineRule="atLeast"/>
        <w:jc w:val="both"/>
        <w:rPr>
          <w:rFonts w:eastAsia="Times New Roman" w:cs="Times New Roman"/>
          <w:highlight w:val="yellow"/>
        </w:rPr>
      </w:pPr>
    </w:p>
    <w:p w14:paraId="3F4A2C94" w14:textId="77777777" w:rsidR="003359B5" w:rsidRPr="00BA6536" w:rsidRDefault="003D5E81" w:rsidP="003D5E81">
      <w:pPr>
        <w:pStyle w:val="Heading1"/>
        <w:rPr>
          <w:rFonts w:eastAsia="Times New Roman" w:cs="Times New Roman"/>
          <w:color w:val="auto"/>
        </w:rPr>
      </w:pPr>
      <w:bookmarkStart w:id="405" w:name="_Toc383700176"/>
      <w:r w:rsidRPr="00BA6536">
        <w:rPr>
          <w:rFonts w:eastAsia="Times New Roman" w:cs="Times New Roman"/>
          <w:color w:val="auto"/>
        </w:rPr>
        <w:t>6</w:t>
      </w:r>
      <w:r w:rsidR="00A34B63" w:rsidRPr="00BA6536">
        <w:rPr>
          <w:rFonts w:eastAsia="Times New Roman" w:cs="Times New Roman"/>
          <w:color w:val="auto"/>
        </w:rPr>
        <w:t>. HOUSING PROGRAM</w:t>
      </w:r>
      <w:bookmarkEnd w:id="405"/>
    </w:p>
    <w:p w14:paraId="1B9CEEED" w14:textId="77777777"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14:paraId="6E86C6AC" w14:textId="77777777" w:rsidR="00751138" w:rsidRPr="00BA6536" w:rsidRDefault="00751138" w:rsidP="00751138">
      <w:pPr>
        <w:spacing w:line="280" w:lineRule="atLeast"/>
        <w:jc w:val="both"/>
      </w:pPr>
      <w:r w:rsidRPr="00BA6536">
        <w:t>STATUTORY REQUIREMENTS</w:t>
      </w:r>
      <w:r w:rsidRPr="00BA6536">
        <w:fldChar w:fldCharType="begin"/>
      </w:r>
      <w:r w:rsidRPr="00BA6536">
        <w:instrText xml:space="preserve"> TC"</w:instrText>
      </w:r>
      <w:bookmarkStart w:id="406" w:name="_Toc53806490"/>
      <w:bookmarkStart w:id="407" w:name="_Toc66156091"/>
      <w:bookmarkStart w:id="408" w:name="_Toc76444013"/>
      <w:bookmarkStart w:id="409" w:name="_Toc123887158"/>
      <w:r w:rsidRPr="00BA6536">
        <w:instrText>Statutory Requirements</w:instrText>
      </w:r>
      <w:bookmarkEnd w:id="406"/>
      <w:bookmarkEnd w:id="407"/>
      <w:bookmarkEnd w:id="408"/>
      <w:bookmarkEnd w:id="409"/>
      <w:r w:rsidRPr="00BA6536">
        <w:instrText xml:space="preserve">"\l 2 </w:instrText>
      </w:r>
      <w:r w:rsidRPr="00BA6536">
        <w:fldChar w:fldCharType="end"/>
      </w:r>
    </w:p>
    <w:p w14:paraId="4380A6C0" w14:textId="77777777" w:rsidR="00751138" w:rsidRPr="00BA6536" w:rsidRDefault="00751138" w:rsidP="00751138">
      <w:pPr>
        <w:spacing w:line="280" w:lineRule="atLeast"/>
        <w:jc w:val="both"/>
      </w:pPr>
      <w:r w:rsidRPr="00BA6536">
        <w:t>Local governments have the responsibility to adopt a program that implements the policies, goals and objectives of the Housing Element through their vested powers, particularly over land use and development controls, regulatory concessions and incentives and the utilization of financial resources. Policies guide housing development within the locality.</w:t>
      </w:r>
    </w:p>
    <w:p w14:paraId="3989EDBD" w14:textId="77777777" w:rsidR="00751138" w:rsidRPr="00BA6536" w:rsidRDefault="00751138" w:rsidP="00751138">
      <w:pPr>
        <w:pStyle w:val="BodyText"/>
        <w:spacing w:line="280" w:lineRule="atLeast"/>
        <w:jc w:val="both"/>
        <w:rPr>
          <w:rFonts w:asciiTheme="minorHAnsi" w:hAnsiTheme="minorHAnsi"/>
          <w:sz w:val="22"/>
          <w:szCs w:val="22"/>
        </w:rPr>
      </w:pPr>
      <w:r w:rsidRPr="00BA6536">
        <w:rPr>
          <w:rFonts w:asciiTheme="minorHAnsi" w:hAnsiTheme="minorHAnsi"/>
          <w:sz w:val="22"/>
          <w:szCs w:val="22"/>
        </w:rPr>
        <w:t>Programs are the specific action steps the locality will take to implement its policies and achieve its goals and objectives. Programs must include a specific time frame for implementation and identify the agencies or officials responsible for implementation. Effective program descriptions also include:</w:t>
      </w:r>
    </w:p>
    <w:p w14:paraId="7B724B44" w14:textId="77777777" w:rsidR="00751138" w:rsidRPr="00BA6536" w:rsidRDefault="00751138" w:rsidP="00751138">
      <w:pPr>
        <w:pStyle w:val="BodyText"/>
        <w:spacing w:after="0" w:line="280" w:lineRule="atLeast"/>
        <w:jc w:val="both"/>
        <w:rPr>
          <w:rFonts w:asciiTheme="minorHAnsi" w:hAnsiTheme="minorHAnsi"/>
          <w:sz w:val="22"/>
          <w:szCs w:val="22"/>
        </w:rPr>
      </w:pPr>
      <w:r w:rsidRPr="00BA6536">
        <w:rPr>
          <w:rFonts w:asciiTheme="minorHAnsi" w:hAnsiTheme="minorHAnsi"/>
          <w:sz w:val="22"/>
          <w:szCs w:val="22"/>
        </w:rPr>
        <w:t>Immediate, short-term and long-term action steps;</w:t>
      </w:r>
    </w:p>
    <w:p w14:paraId="6ABE6736" w14:textId="77777777" w:rsidR="00751138" w:rsidRPr="00BA6536" w:rsidRDefault="00751138" w:rsidP="00751138">
      <w:pPr>
        <w:pStyle w:val="BodyText"/>
        <w:spacing w:after="0" w:line="280" w:lineRule="atLeast"/>
        <w:jc w:val="both"/>
        <w:rPr>
          <w:rFonts w:asciiTheme="minorHAnsi" w:hAnsiTheme="minorHAnsi"/>
          <w:sz w:val="22"/>
          <w:szCs w:val="22"/>
        </w:rPr>
      </w:pPr>
      <w:r w:rsidRPr="00BA6536">
        <w:rPr>
          <w:rFonts w:asciiTheme="minorHAnsi" w:hAnsiTheme="minorHAnsi"/>
          <w:sz w:val="22"/>
          <w:szCs w:val="22"/>
        </w:rPr>
        <w:t>Proposed measurable outcomes; and</w:t>
      </w:r>
    </w:p>
    <w:p w14:paraId="258A7808" w14:textId="77777777" w:rsidR="00751138" w:rsidRPr="00BA6536" w:rsidRDefault="00751138" w:rsidP="00751138">
      <w:pPr>
        <w:pStyle w:val="BodyText"/>
        <w:spacing w:after="0" w:line="280" w:lineRule="atLeast"/>
        <w:jc w:val="both"/>
        <w:rPr>
          <w:rFonts w:asciiTheme="minorHAnsi" w:hAnsiTheme="minorHAnsi"/>
          <w:sz w:val="22"/>
          <w:szCs w:val="22"/>
        </w:rPr>
      </w:pPr>
      <w:r w:rsidRPr="00BA6536">
        <w:rPr>
          <w:rFonts w:asciiTheme="minorHAnsi" w:hAnsiTheme="minorHAnsi"/>
          <w:sz w:val="22"/>
          <w:szCs w:val="22"/>
        </w:rPr>
        <w:t>Specific funding sources, where appropriate.</w:t>
      </w:r>
    </w:p>
    <w:p w14:paraId="4C2B9695" w14:textId="77777777"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14:paraId="3F3CBD80" w14:textId="77777777" w:rsidR="00751138" w:rsidRPr="00BA6536" w:rsidRDefault="002E1FEA" w:rsidP="003D5E81">
      <w:pPr>
        <w:pStyle w:val="Heading2"/>
        <w:rPr>
          <w:rFonts w:eastAsia="Times New Roman" w:cs="Times New Roman"/>
          <w:color w:val="auto"/>
        </w:rPr>
      </w:pPr>
      <w:bookmarkStart w:id="410" w:name="_Toc383700177"/>
      <w:r>
        <w:rPr>
          <w:rFonts w:eastAsia="Times New Roman" w:cs="Times New Roman"/>
          <w:color w:val="auto"/>
        </w:rPr>
        <w:t xml:space="preserve">A. </w:t>
      </w:r>
      <w:r w:rsidR="00751138" w:rsidRPr="00BA6536">
        <w:rPr>
          <w:rFonts w:eastAsia="Times New Roman" w:cs="Times New Roman"/>
          <w:color w:val="auto"/>
        </w:rPr>
        <w:t>HOUSING POLICIES AND PROGRAMS</w:t>
      </w:r>
      <w:bookmarkEnd w:id="410"/>
    </w:p>
    <w:p w14:paraId="183EBC82" w14:textId="77777777"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14:paraId="39D27502" w14:textId="77777777"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r w:rsidRPr="00BA6536">
        <w:rPr>
          <w:rFonts w:eastAsia="Times New Roman" w:cs="Times New Roman"/>
        </w:rPr>
        <w:t>OVERALL HOUSING GOAL</w:t>
      </w:r>
    </w:p>
    <w:p w14:paraId="59DFA6E4" w14:textId="77777777"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r w:rsidRPr="00BA6536">
        <w:rPr>
          <w:rFonts w:eastAsia="Times New Roman" w:cs="Times New Roman"/>
        </w:rPr>
        <w:t xml:space="preserve">Provide an adequate supply of sound and safe affordable housing for all County residents.  </w:t>
      </w:r>
    </w:p>
    <w:p w14:paraId="74125882" w14:textId="77777777"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14:paraId="7EDA71B4" w14:textId="77777777" w:rsidR="00751138" w:rsidRPr="00BA6536" w:rsidRDefault="002E1FEA" w:rsidP="003D5E81">
      <w:pPr>
        <w:pStyle w:val="Heading3"/>
      </w:pPr>
      <w:bookmarkStart w:id="411" w:name="_Toc383700178"/>
      <w:r>
        <w:t xml:space="preserve">a. </w:t>
      </w:r>
      <w:r w:rsidR="00751138" w:rsidRPr="00BA6536">
        <w:t>PROVISION OF ADEQUATE SITES</w:t>
      </w:r>
      <w:bookmarkEnd w:id="411"/>
    </w:p>
    <w:p w14:paraId="1D48F79C" w14:textId="77777777"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14:paraId="134FE0D5" w14:textId="77777777" w:rsidR="00751138" w:rsidRPr="00BA6536" w:rsidRDefault="00751138" w:rsidP="00751138">
      <w:pPr>
        <w:pStyle w:val="BodyText"/>
        <w:spacing w:before="120" w:after="0" w:line="280" w:lineRule="atLeast"/>
        <w:ind w:left="1080" w:hanging="1080"/>
        <w:jc w:val="both"/>
        <w:rPr>
          <w:rFonts w:asciiTheme="minorHAnsi" w:hAnsiTheme="minorHAnsi"/>
          <w:sz w:val="22"/>
          <w:szCs w:val="22"/>
        </w:rPr>
      </w:pPr>
      <w:r w:rsidRPr="00BA6536">
        <w:rPr>
          <w:rFonts w:asciiTheme="minorHAnsi" w:hAnsiTheme="minorHAnsi"/>
          <w:sz w:val="22"/>
          <w:szCs w:val="22"/>
        </w:rPr>
        <w:t>Goal</w:t>
      </w:r>
      <w:r w:rsidRPr="00BA6536">
        <w:rPr>
          <w:rFonts w:asciiTheme="minorHAnsi" w:hAnsiTheme="minorHAnsi"/>
          <w:sz w:val="22"/>
          <w:szCs w:val="22"/>
        </w:rPr>
        <w:tab/>
        <w:t>Plan for adequate sites and facilities to support future housing needs.</w:t>
      </w:r>
    </w:p>
    <w:p w14:paraId="7A7117F4" w14:textId="77777777" w:rsidR="00751138" w:rsidRPr="00BA6536" w:rsidRDefault="00751138" w:rsidP="00751138">
      <w:pPr>
        <w:pStyle w:val="BodyText"/>
        <w:spacing w:after="0" w:line="280" w:lineRule="atLeast"/>
        <w:ind w:left="1080" w:hanging="1080"/>
        <w:jc w:val="both"/>
        <w:rPr>
          <w:rFonts w:asciiTheme="minorHAnsi" w:hAnsiTheme="minorHAnsi"/>
          <w:sz w:val="22"/>
          <w:szCs w:val="22"/>
        </w:rPr>
      </w:pPr>
    </w:p>
    <w:p w14:paraId="5FB0DDE8" w14:textId="77777777" w:rsidR="00751138" w:rsidRPr="00BA6536" w:rsidRDefault="00751138" w:rsidP="00751138">
      <w:pPr>
        <w:pStyle w:val="BodyText"/>
        <w:spacing w:after="0" w:line="280" w:lineRule="atLeast"/>
        <w:ind w:left="1080" w:hanging="1080"/>
        <w:jc w:val="both"/>
        <w:rPr>
          <w:rFonts w:asciiTheme="minorHAnsi" w:hAnsiTheme="minorHAnsi"/>
          <w:strike/>
          <w:sz w:val="22"/>
          <w:szCs w:val="22"/>
        </w:rPr>
      </w:pPr>
      <w:r w:rsidRPr="00BA6536">
        <w:rPr>
          <w:rFonts w:asciiTheme="minorHAnsi" w:hAnsiTheme="minorHAnsi"/>
          <w:sz w:val="22"/>
          <w:szCs w:val="22"/>
        </w:rPr>
        <w:t>Policy 1</w:t>
      </w:r>
      <w:r w:rsidRPr="00BA6536">
        <w:rPr>
          <w:rFonts w:asciiTheme="minorHAnsi" w:hAnsiTheme="minorHAnsi"/>
          <w:sz w:val="22"/>
          <w:szCs w:val="22"/>
        </w:rPr>
        <w:tab/>
        <w:t>Facilitate the provision of housing in unincorporated communities to meet local housing demand.</w:t>
      </w:r>
    </w:p>
    <w:p w14:paraId="1F3DE746" w14:textId="77777777" w:rsidR="0071753C" w:rsidRPr="00BA6536" w:rsidRDefault="0071753C" w:rsidP="00751138">
      <w:pPr>
        <w:pStyle w:val="BodyText"/>
        <w:spacing w:after="0" w:line="280" w:lineRule="atLeast"/>
        <w:ind w:left="1080" w:hanging="1080"/>
        <w:jc w:val="both"/>
        <w:rPr>
          <w:rFonts w:asciiTheme="minorHAnsi" w:hAnsiTheme="minorHAnsi"/>
          <w:sz w:val="22"/>
          <w:szCs w:val="22"/>
        </w:rPr>
      </w:pPr>
    </w:p>
    <w:p w14:paraId="24DE21AD" w14:textId="77777777"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2</w:t>
      </w:r>
      <w:r w:rsidRPr="00BA6536">
        <w:rPr>
          <w:rFonts w:asciiTheme="minorHAnsi" w:hAnsiTheme="minorHAnsi"/>
          <w:sz w:val="22"/>
          <w:szCs w:val="22"/>
        </w:rPr>
        <w:tab/>
        <w:t>Ensure that adequate infrastructure exists or will be provided to support future housing development.</w:t>
      </w:r>
    </w:p>
    <w:p w14:paraId="78BEBAFE" w14:textId="77777777" w:rsidR="0071753C" w:rsidRPr="00BA6536" w:rsidRDefault="0071753C" w:rsidP="00751138">
      <w:pPr>
        <w:pStyle w:val="BodyText"/>
        <w:spacing w:after="0" w:line="280" w:lineRule="atLeast"/>
        <w:ind w:left="1080" w:hanging="1080"/>
        <w:jc w:val="both"/>
        <w:rPr>
          <w:rFonts w:asciiTheme="minorHAnsi" w:hAnsiTheme="minorHAnsi"/>
          <w:sz w:val="22"/>
          <w:szCs w:val="22"/>
        </w:rPr>
      </w:pPr>
    </w:p>
    <w:p w14:paraId="4818979C" w14:textId="77777777"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3</w:t>
      </w:r>
      <w:r w:rsidRPr="00BA6536">
        <w:rPr>
          <w:rFonts w:asciiTheme="minorHAnsi" w:hAnsiTheme="minorHAnsi"/>
          <w:sz w:val="22"/>
          <w:szCs w:val="22"/>
        </w:rPr>
        <w:tab/>
        <w:t xml:space="preserve">Identify potential housing sites, including seasonal housing units on public lands, agency employee housing (USFS, BLM, Caltrans, LADWP and Mono County), and under-utilized sites. </w:t>
      </w:r>
    </w:p>
    <w:p w14:paraId="727D26E4" w14:textId="77777777" w:rsidR="0071753C" w:rsidRPr="00BA6536" w:rsidRDefault="0071753C" w:rsidP="00751138">
      <w:pPr>
        <w:pStyle w:val="BodyText"/>
        <w:spacing w:after="0" w:line="280" w:lineRule="atLeast"/>
        <w:ind w:left="1080" w:hanging="1080"/>
        <w:jc w:val="both"/>
        <w:rPr>
          <w:rFonts w:asciiTheme="minorHAnsi" w:hAnsiTheme="minorHAnsi"/>
          <w:sz w:val="22"/>
          <w:szCs w:val="22"/>
        </w:rPr>
      </w:pPr>
    </w:p>
    <w:p w14:paraId="4649F642" w14:textId="77777777"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4</w:t>
      </w:r>
      <w:r w:rsidRPr="00BA6536">
        <w:rPr>
          <w:rFonts w:asciiTheme="minorHAnsi" w:hAnsiTheme="minorHAnsi"/>
          <w:sz w:val="22"/>
          <w:szCs w:val="22"/>
        </w:rPr>
        <w:tab/>
        <w:t xml:space="preserve">Seek adequate sites for housing in Mono County and the Eastern Sierra through coordination with other public agencies (i.e., Town of Mammoth Lakes, Inyo County, USFS, BLM, Caltrans, LADWP, DFG, State Parks and Marine Corps), private concerns, nonprofit entities and tribal governments. </w:t>
      </w:r>
    </w:p>
    <w:p w14:paraId="1E791E84" w14:textId="77777777" w:rsidR="0071753C" w:rsidRPr="00BA6536" w:rsidRDefault="0071753C" w:rsidP="00751138">
      <w:pPr>
        <w:spacing w:line="280" w:lineRule="atLeast"/>
        <w:ind w:left="1080" w:hanging="1080"/>
        <w:jc w:val="both"/>
      </w:pPr>
    </w:p>
    <w:p w14:paraId="27946DF2" w14:textId="77777777" w:rsidR="00751138" w:rsidRPr="00BA6536" w:rsidRDefault="00751138" w:rsidP="00751138">
      <w:pPr>
        <w:spacing w:line="280" w:lineRule="atLeast"/>
        <w:ind w:left="1080" w:hanging="1080"/>
        <w:jc w:val="both"/>
      </w:pPr>
      <w:r w:rsidRPr="00BA6536">
        <w:t>Policy 5</w:t>
      </w:r>
      <w:r w:rsidRPr="00BA6536">
        <w:tab/>
        <w:t xml:space="preserve">Plan for adequate sites and facilities to be available for housing all segments of the population, including the homeless; citizens in need of short-term emergency shelter housing (e.g., victims of natural hazard occurrences or accidents and temporarily homeless); and seasonal workers, including farm workers and ski industry workers. </w:t>
      </w:r>
    </w:p>
    <w:p w14:paraId="044A950A" w14:textId="77777777"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6</w:t>
      </w:r>
      <w:r w:rsidRPr="00BA6536">
        <w:rPr>
          <w:rFonts w:asciiTheme="minorHAnsi" w:hAnsiTheme="minorHAnsi"/>
          <w:sz w:val="22"/>
          <w:szCs w:val="22"/>
        </w:rPr>
        <w:tab/>
        <w:t xml:space="preserve">Utilize a Regional Housing Authority or similar entity to develop, implement and manage housing programs in Mono County and the Eastern Sierra. </w:t>
      </w:r>
    </w:p>
    <w:p w14:paraId="3C4455FB" w14:textId="77777777" w:rsidR="0071753C" w:rsidRPr="00BA6536" w:rsidRDefault="0071753C" w:rsidP="00751138">
      <w:pPr>
        <w:pStyle w:val="BodyText"/>
        <w:spacing w:after="0" w:line="280" w:lineRule="atLeast"/>
        <w:ind w:left="1080" w:hanging="1080"/>
        <w:jc w:val="both"/>
        <w:rPr>
          <w:rFonts w:asciiTheme="minorHAnsi" w:hAnsiTheme="minorHAnsi"/>
          <w:sz w:val="22"/>
          <w:szCs w:val="22"/>
        </w:rPr>
      </w:pPr>
    </w:p>
    <w:p w14:paraId="24A3649D" w14:textId="77777777"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7</w:t>
      </w:r>
      <w:r w:rsidRPr="00BA6536">
        <w:rPr>
          <w:rFonts w:asciiTheme="minorHAnsi" w:hAnsiTheme="minorHAnsi"/>
          <w:sz w:val="22"/>
          <w:szCs w:val="22"/>
        </w:rPr>
        <w:tab/>
        <w:t>Consistent with the Land Use Element, designate adequate sites for a variety of residential development in each community to help establish self-sufficient</w:t>
      </w:r>
      <w:r w:rsidRPr="00BA6536">
        <w:rPr>
          <w:rFonts w:asciiTheme="minorHAnsi" w:hAnsiTheme="minorHAnsi"/>
          <w:strike/>
          <w:sz w:val="22"/>
          <w:szCs w:val="22"/>
        </w:rPr>
        <w:t xml:space="preserve"> </w:t>
      </w:r>
      <w:r w:rsidRPr="00BA6536">
        <w:rPr>
          <w:rFonts w:asciiTheme="minorHAnsi" w:hAnsiTheme="minorHAnsi"/>
          <w:sz w:val="22"/>
          <w:szCs w:val="22"/>
        </w:rPr>
        <w:t xml:space="preserve">communities that balance job locations with housing; i.e., develop a sufficient year- round residential population in communities to support local schools, commercial services, and other services. </w:t>
      </w:r>
    </w:p>
    <w:p w14:paraId="2B579A20" w14:textId="77777777" w:rsidR="00751138" w:rsidRPr="00BA6536" w:rsidRDefault="00751138" w:rsidP="00751138">
      <w:pPr>
        <w:pStyle w:val="BodyText"/>
        <w:spacing w:after="0" w:line="280" w:lineRule="atLeast"/>
        <w:ind w:left="1080" w:hanging="1080"/>
        <w:jc w:val="both"/>
        <w:rPr>
          <w:rFonts w:asciiTheme="minorHAnsi" w:hAnsiTheme="minorHAnsi"/>
          <w:sz w:val="22"/>
          <w:szCs w:val="22"/>
        </w:rPr>
      </w:pPr>
    </w:p>
    <w:p w14:paraId="5AC09537" w14:textId="77777777" w:rsidR="00751138" w:rsidRPr="00BA6536" w:rsidRDefault="00751138" w:rsidP="00751138">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PROGRAMS</w:t>
      </w:r>
    </w:p>
    <w:p w14:paraId="292945C9" w14:textId="77777777" w:rsidR="00FC4C68" w:rsidRPr="00BA6536" w:rsidRDefault="00022FE4" w:rsidP="00FC4C68">
      <w:pPr>
        <w:spacing w:after="0" w:line="280" w:lineRule="atLeast"/>
        <w:ind w:left="1260" w:hanging="1260"/>
        <w:jc w:val="both"/>
        <w:rPr>
          <w:rFonts w:eastAsia="Times New Roman" w:cs="Times New Roman"/>
          <w:b/>
        </w:rPr>
      </w:pPr>
      <w:r>
        <w:rPr>
          <w:rFonts w:eastAsia="Times New Roman" w:cs="Times New Roman"/>
          <w:b/>
        </w:rPr>
        <w:t>Program 1:</w:t>
      </w:r>
      <w:r w:rsidR="00FC4C68" w:rsidRPr="00BA6536">
        <w:rPr>
          <w:rFonts w:eastAsia="Times New Roman" w:cs="Times New Roman"/>
          <w:b/>
        </w:rPr>
        <w:t>1</w:t>
      </w:r>
      <w:r w:rsidR="00FC4C68" w:rsidRPr="00BA6536">
        <w:rPr>
          <w:rFonts w:eastAsia="Times New Roman" w:cs="Times New Roman"/>
          <w:b/>
        </w:rPr>
        <w:tab/>
        <w:t>Through the CPT Land Tenure Subcommittee, maintain the Land Tenure master plan and Pursue land exchanges of existing seasonal housing units on public lands into private ownership so those units may become available for local year-round housing</w:t>
      </w:r>
    </w:p>
    <w:p w14:paraId="2F66EB97" w14:textId="77777777" w:rsidR="00397751" w:rsidRPr="00BA6536" w:rsidRDefault="00397751" w:rsidP="00397751">
      <w:pPr>
        <w:spacing w:after="0" w:line="280" w:lineRule="atLeast"/>
        <w:ind w:left="1260" w:hanging="1260"/>
        <w:jc w:val="both"/>
        <w:rPr>
          <w:rFonts w:eastAsia="Times New Roman" w:cs="Times New Roman"/>
        </w:rPr>
      </w:pPr>
      <w:r w:rsidRPr="00BA6536">
        <w:rPr>
          <w:rFonts w:eastAsia="Times New Roman" w:cs="Times New Roman"/>
        </w:rPr>
        <w:t>Responsible Agencies:</w:t>
      </w:r>
      <w:r w:rsidR="00D2492E" w:rsidRPr="00BA6536">
        <w:rPr>
          <w:rFonts w:eastAsia="Times New Roman" w:cs="Times New Roman"/>
        </w:rPr>
        <w:t xml:space="preserve"> CDD, Private Land Owners, USFS</w:t>
      </w:r>
    </w:p>
    <w:p w14:paraId="1A68C2D8" w14:textId="77777777" w:rsidR="00397751" w:rsidRPr="00BA6536" w:rsidRDefault="00397751" w:rsidP="00397751">
      <w:pPr>
        <w:spacing w:after="0" w:line="280" w:lineRule="atLeast"/>
        <w:ind w:left="1260" w:hanging="1260"/>
        <w:jc w:val="both"/>
        <w:rPr>
          <w:rFonts w:eastAsia="Times New Roman" w:cs="Times New Roman"/>
        </w:rPr>
      </w:pPr>
      <w:r w:rsidRPr="00BA6536">
        <w:rPr>
          <w:rFonts w:eastAsia="Times New Roman" w:cs="Times New Roman"/>
        </w:rPr>
        <w:t>Timeframe:</w:t>
      </w:r>
      <w:r w:rsidR="00D2492E" w:rsidRPr="00BA6536">
        <w:rPr>
          <w:rFonts w:eastAsia="Times New Roman" w:cs="Times New Roman"/>
        </w:rPr>
        <w:t xml:space="preserve"> Ongoing</w:t>
      </w:r>
    </w:p>
    <w:p w14:paraId="40079AC8" w14:textId="77777777" w:rsidR="00397751" w:rsidRPr="00BA6536" w:rsidRDefault="00397751" w:rsidP="00397751">
      <w:pPr>
        <w:spacing w:after="0" w:line="280" w:lineRule="atLeast"/>
        <w:ind w:left="1260" w:hanging="1260"/>
        <w:jc w:val="both"/>
        <w:rPr>
          <w:rFonts w:eastAsia="Times New Roman" w:cs="Times New Roman"/>
        </w:rPr>
      </w:pPr>
      <w:r w:rsidRPr="00BA6536">
        <w:rPr>
          <w:rFonts w:eastAsia="Times New Roman" w:cs="Times New Roman"/>
        </w:rPr>
        <w:t>Funding:</w:t>
      </w:r>
      <w:r w:rsidR="00D2492E" w:rsidRPr="00BA6536">
        <w:rPr>
          <w:rFonts w:eastAsia="Times New Roman" w:cs="Times New Roman"/>
        </w:rPr>
        <w:t xml:space="preserve"> </w:t>
      </w:r>
      <w:r w:rsidR="00E16F17" w:rsidRPr="00BA6536">
        <w:rPr>
          <w:rFonts w:eastAsia="Times New Roman" w:cs="Times New Roman"/>
        </w:rPr>
        <w:t>Grants/Private</w:t>
      </w:r>
    </w:p>
    <w:p w14:paraId="7EC9BAFA" w14:textId="77777777" w:rsidR="00397751" w:rsidRPr="00BA6536" w:rsidRDefault="00397751" w:rsidP="00397751">
      <w:pPr>
        <w:spacing w:after="0" w:line="280" w:lineRule="atLeast"/>
        <w:ind w:left="1260" w:hanging="1260"/>
        <w:jc w:val="both"/>
        <w:rPr>
          <w:rFonts w:eastAsia="Times New Roman" w:cs="Times New Roman"/>
        </w:rPr>
      </w:pPr>
      <w:r w:rsidRPr="00BA6536">
        <w:rPr>
          <w:rFonts w:eastAsia="Times New Roman" w:cs="Times New Roman"/>
        </w:rPr>
        <w:t>Actions:</w:t>
      </w:r>
      <w:r w:rsidR="00E16F17" w:rsidRPr="00BA6536">
        <w:rPr>
          <w:rFonts w:eastAsia="Times New Roman" w:cs="Times New Roman"/>
        </w:rPr>
        <w:t xml:space="preserve"> Ongoing maintenance of plan.</w:t>
      </w:r>
      <w:r w:rsidR="002D040D" w:rsidRPr="00BA6536">
        <w:rPr>
          <w:rFonts w:eastAsia="Times New Roman" w:cs="Times New Roman"/>
        </w:rPr>
        <w:t xml:space="preserve"> Continue Pine Glade discussions.</w:t>
      </w:r>
    </w:p>
    <w:p w14:paraId="1C16FE3C" w14:textId="77777777" w:rsidR="00397751" w:rsidRPr="00BA6536" w:rsidRDefault="00397751" w:rsidP="00397751">
      <w:pPr>
        <w:spacing w:after="0" w:line="280" w:lineRule="atLeast"/>
        <w:ind w:left="1260" w:hanging="1260"/>
        <w:jc w:val="both"/>
        <w:rPr>
          <w:rFonts w:eastAsia="Times New Roman" w:cs="Times New Roman"/>
          <w:b/>
        </w:rPr>
      </w:pPr>
    </w:p>
    <w:p w14:paraId="39240F8D" w14:textId="77777777" w:rsidR="00FC4C68" w:rsidRPr="00BA6536" w:rsidRDefault="00022FE4" w:rsidP="00FC4C68">
      <w:pPr>
        <w:spacing w:after="0" w:line="280" w:lineRule="atLeast"/>
        <w:ind w:left="1260" w:hanging="1260"/>
        <w:jc w:val="both"/>
        <w:rPr>
          <w:rFonts w:eastAsia="Times New Roman" w:cs="Times New Roman"/>
          <w:b/>
        </w:rPr>
      </w:pPr>
      <w:r>
        <w:rPr>
          <w:rFonts w:eastAsia="Times New Roman" w:cs="Times New Roman"/>
          <w:b/>
        </w:rPr>
        <w:t>Program 1:</w:t>
      </w:r>
      <w:r w:rsidR="00FC4C68" w:rsidRPr="00BA6536">
        <w:rPr>
          <w:rFonts w:eastAsia="Times New Roman" w:cs="Times New Roman"/>
          <w:b/>
        </w:rPr>
        <w:t>2</w:t>
      </w:r>
      <w:r w:rsidR="00FC4C68" w:rsidRPr="00BA6536">
        <w:rPr>
          <w:rFonts w:eastAsia="Times New Roman" w:cs="Times New Roman"/>
          <w:b/>
        </w:rPr>
        <w:tab/>
        <w:t>Inventory existing and/or potential agency housing areas (Mono County, Town of Mammoth Lakes, Southern Mono Hospital District, Mammoth Unified School District, USFS, BLM, Caltrans, LADWP, etc.) and work with agencies to assess where additional housing might be made available.</w:t>
      </w:r>
    </w:p>
    <w:p w14:paraId="37756033"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72995" w:rsidRPr="00BA6536">
        <w:rPr>
          <w:rFonts w:eastAsia="Times New Roman" w:cs="Times New Roman"/>
        </w:rPr>
        <w:t>CDD and all Land Tenure subcommittee partner agencies.</w:t>
      </w:r>
    </w:p>
    <w:p w14:paraId="2CF8656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A72995" w:rsidRPr="00BA6536">
        <w:rPr>
          <w:rFonts w:eastAsia="Times New Roman" w:cs="Times New Roman"/>
        </w:rPr>
        <w:t>2014</w:t>
      </w:r>
    </w:p>
    <w:p w14:paraId="505741A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A72995" w:rsidRPr="00BA6536">
        <w:rPr>
          <w:rFonts w:eastAsia="Times New Roman" w:cs="Times New Roman"/>
        </w:rPr>
        <w:t>Grants</w:t>
      </w:r>
    </w:p>
    <w:p w14:paraId="3E7EEC6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A72995" w:rsidRPr="00BA6536">
        <w:rPr>
          <w:rFonts w:eastAsia="Times New Roman" w:cs="Times New Roman"/>
        </w:rPr>
        <w:t xml:space="preserve">Amend Land Tenure Plan to include appendix of existing and potential agency housing area. </w:t>
      </w:r>
    </w:p>
    <w:p w14:paraId="263FF67F" w14:textId="77777777" w:rsidR="00204632" w:rsidRPr="00BA6536" w:rsidRDefault="00204632" w:rsidP="00204632">
      <w:pPr>
        <w:spacing w:after="0" w:line="280" w:lineRule="atLeast"/>
        <w:ind w:left="1260" w:hanging="1260"/>
        <w:jc w:val="both"/>
        <w:rPr>
          <w:rFonts w:eastAsia="Times New Roman" w:cs="Times New Roman"/>
          <w:b/>
        </w:rPr>
      </w:pPr>
    </w:p>
    <w:p w14:paraId="7EE0401F" w14:textId="77777777" w:rsidR="00204632" w:rsidRPr="00BA6536" w:rsidRDefault="00022FE4" w:rsidP="00204632">
      <w:pPr>
        <w:spacing w:after="0" w:line="280" w:lineRule="atLeast"/>
        <w:ind w:left="1260" w:hanging="1260"/>
        <w:jc w:val="both"/>
        <w:rPr>
          <w:rFonts w:eastAsia="Times New Roman" w:cs="Times New Roman"/>
          <w:b/>
        </w:rPr>
      </w:pPr>
      <w:r>
        <w:rPr>
          <w:rFonts w:eastAsia="Times New Roman" w:cs="Times New Roman"/>
          <w:b/>
        </w:rPr>
        <w:t>Program 1:</w:t>
      </w:r>
      <w:r w:rsidR="00204632" w:rsidRPr="00BA6536">
        <w:rPr>
          <w:rFonts w:eastAsia="Times New Roman" w:cs="Times New Roman"/>
          <w:b/>
        </w:rPr>
        <w:t>3</w:t>
      </w:r>
      <w:r w:rsidR="00204632" w:rsidRPr="00BA6536">
        <w:rPr>
          <w:rFonts w:eastAsia="Times New Roman" w:cs="Times New Roman"/>
          <w:b/>
        </w:rPr>
        <w:tab/>
        <w:t xml:space="preserve">Work with public agencies (USFS, BLM, Caltrans, LADWP, etc.) to consolidate services and land uses (e.g., road shops) in order to free up land for housing, particularly affordable housing. Consistent with land use policies, encourage agencies to locate their housing within or adjacent to existing communities to facilitate sustainable community growth.  Work to incorporate such policies into agency planning documents.  </w:t>
      </w:r>
    </w:p>
    <w:p w14:paraId="7C08EB3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72995" w:rsidRPr="00BA6536">
        <w:rPr>
          <w:rFonts w:eastAsia="Times New Roman" w:cs="Times New Roman"/>
        </w:rPr>
        <w:t>CDD and all Land Tenure subcommittee partner agencies.</w:t>
      </w:r>
    </w:p>
    <w:p w14:paraId="7D352DF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A72995" w:rsidRPr="00BA6536">
        <w:rPr>
          <w:rFonts w:eastAsia="Times New Roman" w:cs="Times New Roman"/>
        </w:rPr>
        <w:t>Ongoing</w:t>
      </w:r>
    </w:p>
    <w:p w14:paraId="7C306BF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A72995" w:rsidRPr="00BA6536">
        <w:rPr>
          <w:rFonts w:eastAsia="Times New Roman" w:cs="Times New Roman"/>
        </w:rPr>
        <w:t>Grants</w:t>
      </w:r>
    </w:p>
    <w:p w14:paraId="68AAAE7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D040D" w:rsidRPr="00BA6536">
        <w:rPr>
          <w:rFonts w:eastAsia="Times New Roman" w:cs="Times New Roman"/>
        </w:rPr>
        <w:t xml:space="preserve">Provide comments on agency planning documents to ensure inclusions of consistent housing policies. </w:t>
      </w:r>
    </w:p>
    <w:p w14:paraId="76F49719" w14:textId="77777777" w:rsidR="00B402FD" w:rsidRPr="00BA6536" w:rsidRDefault="00B402FD" w:rsidP="00B402FD">
      <w:pPr>
        <w:tabs>
          <w:tab w:val="left" w:pos="1260"/>
        </w:tabs>
        <w:spacing w:after="0" w:line="280" w:lineRule="atLeast"/>
        <w:ind w:left="1260" w:hanging="1260"/>
        <w:jc w:val="both"/>
        <w:rPr>
          <w:rFonts w:eastAsia="Times New Roman" w:cs="Times New Roman"/>
          <w:b/>
        </w:rPr>
      </w:pPr>
    </w:p>
    <w:p w14:paraId="205581EF" w14:textId="77777777" w:rsidR="00B402FD" w:rsidRPr="00BA6536" w:rsidRDefault="00022FE4" w:rsidP="00B402FD">
      <w:pPr>
        <w:tabs>
          <w:tab w:val="left" w:pos="1260"/>
        </w:tabs>
        <w:spacing w:after="0" w:line="280" w:lineRule="atLeast"/>
        <w:ind w:left="1260" w:hanging="1260"/>
        <w:jc w:val="both"/>
        <w:rPr>
          <w:rFonts w:eastAsia="Times New Roman" w:cs="Times New Roman"/>
          <w:b/>
          <w:i/>
        </w:rPr>
      </w:pPr>
      <w:r>
        <w:rPr>
          <w:rFonts w:eastAsia="Times New Roman" w:cs="Times New Roman"/>
          <w:b/>
        </w:rPr>
        <w:t>Program 1:</w:t>
      </w:r>
      <w:r w:rsidR="00B402FD" w:rsidRPr="00BA6536">
        <w:rPr>
          <w:rFonts w:eastAsia="Times New Roman" w:cs="Times New Roman"/>
          <w:b/>
        </w:rPr>
        <w:t>4</w:t>
      </w:r>
      <w:r w:rsidR="00B402FD" w:rsidRPr="00BA6536">
        <w:rPr>
          <w:rFonts w:eastAsia="Times New Roman" w:cs="Times New Roman"/>
          <w:b/>
        </w:rPr>
        <w:tab/>
        <w:t>Examine the inventory of County-owned land for potential housing sites (e.g., road shop sites, Conway Ranch, Sheriff Substation, etc).</w:t>
      </w:r>
    </w:p>
    <w:p w14:paraId="0B667E6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72995" w:rsidRPr="00BA6536">
        <w:rPr>
          <w:rFonts w:eastAsia="Times New Roman" w:cs="Times New Roman"/>
        </w:rPr>
        <w:t>CDD</w:t>
      </w:r>
      <w:r w:rsidR="00D327A5" w:rsidRPr="00BA6536">
        <w:rPr>
          <w:rFonts w:eastAsia="Times New Roman" w:cs="Times New Roman"/>
        </w:rPr>
        <w:t>, Housing Authority</w:t>
      </w:r>
    </w:p>
    <w:p w14:paraId="760AE67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A72995" w:rsidRPr="00BA6536">
        <w:rPr>
          <w:rFonts w:eastAsia="Times New Roman" w:cs="Times New Roman"/>
        </w:rPr>
        <w:t>2014</w:t>
      </w:r>
    </w:p>
    <w:p w14:paraId="1B3848E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A72995" w:rsidRPr="00BA6536">
        <w:rPr>
          <w:rFonts w:eastAsia="Times New Roman" w:cs="Times New Roman"/>
        </w:rPr>
        <w:t>Grants</w:t>
      </w:r>
    </w:p>
    <w:p w14:paraId="5951D8D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A72995" w:rsidRPr="00BA6536">
        <w:rPr>
          <w:rFonts w:eastAsia="Times New Roman" w:cs="Times New Roman"/>
        </w:rPr>
        <w:t>In area plan updates, include discussion and analysis of county owned land.</w:t>
      </w:r>
    </w:p>
    <w:p w14:paraId="33F9049A" w14:textId="77777777" w:rsidR="00B402FD" w:rsidRPr="00BA6536" w:rsidRDefault="00B402FD" w:rsidP="00B402FD">
      <w:pPr>
        <w:spacing w:after="0" w:line="280" w:lineRule="atLeast"/>
        <w:ind w:left="1260" w:hanging="1260"/>
        <w:jc w:val="both"/>
        <w:rPr>
          <w:rFonts w:eastAsia="Times New Roman" w:cs="Times New Roman"/>
          <w:b/>
        </w:rPr>
      </w:pPr>
    </w:p>
    <w:p w14:paraId="733266E0" w14:textId="77777777"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5</w:t>
      </w:r>
      <w:r w:rsidR="00B402FD" w:rsidRPr="00BA6536">
        <w:rPr>
          <w:rFonts w:eastAsia="Times New Roman" w:cs="Times New Roman"/>
          <w:b/>
        </w:rPr>
        <w:tab/>
        <w:t>Study the possibility of acquiring/exchanging public lands surrounding existing community areas for community expansion purposes and/or related infrastructure development, particularly in those areas designated in the Land Use Element for community expansion. Based on the results of these studies, take necessary actions to promote the exchange of lands and encourage the development of a variety of housing types, including multifamily for lower-income households in the acquisition/exchange of public lands.</w:t>
      </w:r>
    </w:p>
    <w:p w14:paraId="6FA1A4E5"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583171" w:rsidRPr="00BA6536">
        <w:rPr>
          <w:rFonts w:eastAsia="Times New Roman" w:cs="Times New Roman"/>
        </w:rPr>
        <w:t>CDD, BLM, USFS, LADWP</w:t>
      </w:r>
    </w:p>
    <w:p w14:paraId="273FD96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96166" w:rsidRPr="00BA6536">
        <w:rPr>
          <w:rFonts w:eastAsia="Times New Roman" w:cs="Times New Roman"/>
        </w:rPr>
        <w:t>2014</w:t>
      </w:r>
    </w:p>
    <w:p w14:paraId="57843A2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96166" w:rsidRPr="00BA6536">
        <w:rPr>
          <w:rFonts w:eastAsia="Times New Roman" w:cs="Times New Roman"/>
        </w:rPr>
        <w:t>Grants</w:t>
      </w:r>
    </w:p>
    <w:p w14:paraId="06B6EB8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96166" w:rsidRPr="00BA6536">
        <w:rPr>
          <w:rFonts w:eastAsia="Times New Roman" w:cs="Times New Roman"/>
        </w:rPr>
        <w:t>Continue analysis and prioritization in Area Plan updates.</w:t>
      </w:r>
    </w:p>
    <w:p w14:paraId="3276E806" w14:textId="77777777" w:rsidR="00B402FD" w:rsidRPr="00BA6536" w:rsidRDefault="00B402FD" w:rsidP="00B402FD">
      <w:pPr>
        <w:spacing w:after="0" w:line="280" w:lineRule="atLeast"/>
        <w:ind w:left="1260" w:hanging="1260"/>
        <w:jc w:val="both"/>
        <w:rPr>
          <w:rFonts w:eastAsia="Times New Roman" w:cs="Times New Roman"/>
          <w:b/>
        </w:rPr>
      </w:pPr>
    </w:p>
    <w:p w14:paraId="16AFEE52" w14:textId="77777777"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6</w:t>
      </w:r>
      <w:r w:rsidR="00B402FD" w:rsidRPr="00BA6536">
        <w:rPr>
          <w:rFonts w:eastAsia="Times New Roman" w:cs="Times New Roman"/>
          <w:b/>
        </w:rPr>
        <w:tab/>
        <w:t>Implement policies in the Land Use Element pertaining to the provision of services and the coordination of development with service capability. Work with local service providers (public utility districts, fire protection districts, gas/electric power providers, telephone/communications systems providers, etc.) to ensure that adequate services are or will be available for housing development.</w:t>
      </w:r>
    </w:p>
    <w:p w14:paraId="765685D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327A5" w:rsidRPr="00BA6536">
        <w:rPr>
          <w:rFonts w:eastAsia="Times New Roman" w:cs="Times New Roman"/>
        </w:rPr>
        <w:t>CDD</w:t>
      </w:r>
    </w:p>
    <w:p w14:paraId="7059A94D"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Timeframe:</w:t>
      </w:r>
      <w:r w:rsidR="00296166" w:rsidRPr="00BA6536">
        <w:rPr>
          <w:rFonts w:eastAsia="Times New Roman" w:cs="Times New Roman"/>
        </w:rPr>
        <w:t xml:space="preserve"> Ongoing</w:t>
      </w:r>
      <w:r w:rsidRPr="00BA6536">
        <w:rPr>
          <w:rFonts w:eastAsia="Times New Roman" w:cs="Times New Roman"/>
        </w:rPr>
        <w:t xml:space="preserve"> </w:t>
      </w:r>
    </w:p>
    <w:p w14:paraId="3AC0D64D"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Funding:</w:t>
      </w:r>
      <w:r w:rsidR="00204556" w:rsidRPr="00BA6536">
        <w:rPr>
          <w:rFonts w:eastAsia="Times New Roman" w:cs="Times New Roman"/>
        </w:rPr>
        <w:t xml:space="preserve"> Grants, General Fund</w:t>
      </w:r>
      <w:r w:rsidRPr="00BA6536">
        <w:rPr>
          <w:rFonts w:eastAsia="Times New Roman" w:cs="Times New Roman"/>
        </w:rPr>
        <w:t xml:space="preserve"> </w:t>
      </w:r>
    </w:p>
    <w:p w14:paraId="12EA0E0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Cross reference land use element provisions with LAFCO MSR updates.</w:t>
      </w:r>
    </w:p>
    <w:p w14:paraId="38291C61" w14:textId="77777777" w:rsidR="00B402FD" w:rsidRPr="00BA6536" w:rsidRDefault="00B402FD" w:rsidP="00204632">
      <w:pPr>
        <w:spacing w:after="0" w:line="280" w:lineRule="atLeast"/>
        <w:ind w:left="1260" w:hanging="1260"/>
        <w:jc w:val="both"/>
        <w:rPr>
          <w:rFonts w:eastAsia="Times New Roman" w:cs="Times New Roman"/>
          <w:b/>
        </w:rPr>
      </w:pPr>
    </w:p>
    <w:p w14:paraId="1C32760E" w14:textId="77777777"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7</w:t>
      </w:r>
      <w:r w:rsidR="00B402FD" w:rsidRPr="00BA6536">
        <w:rPr>
          <w:rFonts w:eastAsia="Times New Roman" w:cs="Times New Roman"/>
          <w:b/>
        </w:rPr>
        <w:tab/>
        <w:t>Encourage and assist special districts and private service providers (mutual water companies etc.) to secure grants to improve and expand sewer and water capabilities and fire protection services. The County's participation will entail aiding districts in the preparation of grant applications and in compliance with environmental requirements.</w:t>
      </w:r>
    </w:p>
    <w:p w14:paraId="56E7AF2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D040D" w:rsidRPr="00BA6536">
        <w:rPr>
          <w:rFonts w:eastAsia="Times New Roman" w:cs="Times New Roman"/>
        </w:rPr>
        <w:t>CDD, LAFCO</w:t>
      </w:r>
    </w:p>
    <w:p w14:paraId="1136801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2014-2015</w:t>
      </w:r>
    </w:p>
    <w:p w14:paraId="72DD034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Grants, LAFCO</w:t>
      </w:r>
    </w:p>
    <w:p w14:paraId="23D32CC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 xml:space="preserve">Prioritize districts that have financial needs during the MSR update process. </w:t>
      </w:r>
    </w:p>
    <w:p w14:paraId="7769CFD7" w14:textId="77777777" w:rsidR="00B402FD" w:rsidRPr="00BA6536" w:rsidRDefault="00B402FD" w:rsidP="00B402FD">
      <w:pPr>
        <w:spacing w:after="0" w:line="280" w:lineRule="atLeast"/>
        <w:ind w:left="1260" w:hanging="1260"/>
        <w:jc w:val="both"/>
        <w:rPr>
          <w:rFonts w:eastAsia="Times New Roman" w:cs="Times New Roman"/>
          <w:b/>
        </w:rPr>
      </w:pPr>
    </w:p>
    <w:p w14:paraId="31576D7B" w14:textId="77777777"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8</w:t>
      </w:r>
      <w:r w:rsidR="00B402FD" w:rsidRPr="00BA6536">
        <w:rPr>
          <w:rFonts w:eastAsia="Times New Roman" w:cs="Times New Roman"/>
          <w:b/>
        </w:rPr>
        <w:tab/>
        <w:t>The County has identified its community centers as emergency.</w:t>
      </w:r>
      <w:r w:rsidR="00B402FD" w:rsidRPr="00BA6536">
        <w:rPr>
          <w:rFonts w:eastAsia="Times New Roman" w:cs="Times New Roman"/>
        </w:rPr>
        <w:t xml:space="preserve"> </w:t>
      </w:r>
      <w:r w:rsidR="00B402FD" w:rsidRPr="00BA6536">
        <w:rPr>
          <w:rFonts w:eastAsia="Times New Roman" w:cs="Times New Roman"/>
          <w:b/>
        </w:rPr>
        <w:t>Monitor the need for permanent emergency shelters. Apply for emergency housing funds available from the Department of Housing and Community Development or other state or federal agencies when it is determined that there is an unmet need for emergency housing.</w:t>
      </w:r>
    </w:p>
    <w:p w14:paraId="020FE3A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327A5" w:rsidRPr="00BA6536">
        <w:rPr>
          <w:rFonts w:eastAsia="Times New Roman" w:cs="Times New Roman"/>
        </w:rPr>
        <w:t>CDD, PW (Facilities)</w:t>
      </w:r>
    </w:p>
    <w:p w14:paraId="369C1FB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14:paraId="1E7A220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Grants</w:t>
      </w:r>
    </w:p>
    <w:p w14:paraId="4E782FE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Monitor emergency housing needs through inter department coordination meetings.</w:t>
      </w:r>
    </w:p>
    <w:p w14:paraId="73D25DB9" w14:textId="77777777" w:rsidR="00B402FD" w:rsidRPr="00BA6536" w:rsidRDefault="00B402FD" w:rsidP="00B402FD">
      <w:pPr>
        <w:spacing w:after="0" w:line="280" w:lineRule="atLeast"/>
        <w:ind w:left="1260" w:hanging="1260"/>
        <w:jc w:val="both"/>
        <w:rPr>
          <w:rFonts w:ascii="Times New Roman" w:eastAsia="Times New Roman" w:hAnsi="Times New Roman" w:cs="Times New Roman"/>
          <w:b/>
          <w:sz w:val="24"/>
          <w:szCs w:val="20"/>
          <w:highlight w:val="yellow"/>
        </w:rPr>
      </w:pPr>
    </w:p>
    <w:p w14:paraId="686273DF" w14:textId="77777777"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9</w:t>
      </w:r>
      <w:r w:rsidR="00B402FD" w:rsidRPr="00BA6536">
        <w:rPr>
          <w:rFonts w:eastAsia="Times New Roman" w:cs="Times New Roman"/>
          <w:b/>
        </w:rPr>
        <w:tab/>
        <w:t>Ensure that the County's Multi-Hazard Functional Plan, prepared by the County's Office of Emergency Services, remains up-to-date. The Multi-Hazard Functional Plan contains policies and procedures for housing victims of natural hazards or accidents.</w:t>
      </w:r>
    </w:p>
    <w:p w14:paraId="240420FC"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04556" w:rsidRPr="00BA6536">
        <w:rPr>
          <w:rFonts w:eastAsia="Times New Roman" w:cs="Times New Roman"/>
        </w:rPr>
        <w:t>Office of Emerngency Services</w:t>
      </w:r>
    </w:p>
    <w:p w14:paraId="4D72176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2014</w:t>
      </w:r>
    </w:p>
    <w:p w14:paraId="2CF87235"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Grants</w:t>
      </w:r>
    </w:p>
    <w:p w14:paraId="5242200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 xml:space="preserve">Pursue funding and update plan as needed.  Coordinate with LHMP plan update in 2014. </w:t>
      </w:r>
    </w:p>
    <w:p w14:paraId="4DD3EFBB" w14:textId="77777777" w:rsidR="00E16F17" w:rsidRPr="00BA6536" w:rsidRDefault="00E16F17" w:rsidP="00B402FD">
      <w:pPr>
        <w:spacing w:after="0" w:line="280" w:lineRule="atLeast"/>
        <w:ind w:left="1260" w:hanging="1260"/>
        <w:jc w:val="both"/>
        <w:rPr>
          <w:rFonts w:eastAsia="Times New Roman" w:cs="Times New Roman"/>
          <w:b/>
        </w:rPr>
      </w:pPr>
    </w:p>
    <w:p w14:paraId="56A0B971" w14:textId="77777777" w:rsidR="00B402FD" w:rsidRPr="00776763"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10</w:t>
      </w:r>
      <w:r w:rsidR="00B402FD" w:rsidRPr="00BA6536">
        <w:rPr>
          <w:rFonts w:eastAsia="Times New Roman" w:cs="Times New Roman"/>
          <w:b/>
        </w:rPr>
        <w:tab/>
        <w:t>Continue to provide short-term housing for homeless persons and to monitor the need to increase services for homeless persons</w:t>
      </w:r>
      <w:r w:rsidR="00833747">
        <w:rPr>
          <w:rFonts w:eastAsia="Times New Roman" w:cs="Times New Roman"/>
          <w:b/>
        </w:rPr>
        <w:t xml:space="preserve">, </w:t>
      </w:r>
      <w:r w:rsidR="00833747" w:rsidRPr="00776763">
        <w:rPr>
          <w:rFonts w:eastAsia="Times New Roman" w:cs="Times New Roman"/>
          <w:b/>
        </w:rPr>
        <w:t>including short term housing for victims of domestic violence</w:t>
      </w:r>
      <w:r w:rsidR="00B402FD" w:rsidRPr="00776763">
        <w:rPr>
          <w:rFonts w:eastAsia="Times New Roman" w:cs="Times New Roman"/>
          <w:b/>
        </w:rPr>
        <w:t>.</w:t>
      </w:r>
    </w:p>
    <w:p w14:paraId="6EF6FC17" w14:textId="766D08BF" w:rsidR="00E16F17" w:rsidRPr="00776763" w:rsidRDefault="00E16F17" w:rsidP="00E16F17">
      <w:pPr>
        <w:spacing w:after="0" w:line="280" w:lineRule="atLeast"/>
        <w:ind w:left="1260" w:hanging="1260"/>
        <w:jc w:val="both"/>
        <w:rPr>
          <w:rFonts w:eastAsia="Times New Roman" w:cs="Times New Roman"/>
        </w:rPr>
      </w:pPr>
      <w:r w:rsidRPr="00776763">
        <w:rPr>
          <w:rFonts w:eastAsia="Times New Roman" w:cs="Times New Roman"/>
        </w:rPr>
        <w:t xml:space="preserve">Responsible Agencies: </w:t>
      </w:r>
      <w:r w:rsidR="006A2A67" w:rsidRPr="00776763">
        <w:rPr>
          <w:rFonts w:eastAsia="Times New Roman" w:cs="Times New Roman"/>
        </w:rPr>
        <w:t>IMACA, Social Services, Wild Iris</w:t>
      </w:r>
    </w:p>
    <w:p w14:paraId="1431E89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14:paraId="59B54BA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Funding:</w:t>
      </w:r>
      <w:r w:rsidR="00204556" w:rsidRPr="00BA6536">
        <w:rPr>
          <w:rFonts w:eastAsia="Times New Roman" w:cs="Times New Roman"/>
        </w:rPr>
        <w:t xml:space="preserve"> State Funding, Grants</w:t>
      </w:r>
      <w:r w:rsidRPr="00BA6536">
        <w:rPr>
          <w:rFonts w:eastAsia="Times New Roman" w:cs="Times New Roman"/>
        </w:rPr>
        <w:t xml:space="preserve"> </w:t>
      </w:r>
    </w:p>
    <w:p w14:paraId="1B248BE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 xml:space="preserve">IMACA and Social Services </w:t>
      </w:r>
    </w:p>
    <w:p w14:paraId="6418F4C3" w14:textId="77777777" w:rsidR="00B402FD" w:rsidRPr="00BA6536" w:rsidRDefault="00B402FD" w:rsidP="00B402FD">
      <w:pPr>
        <w:spacing w:after="0" w:line="280" w:lineRule="atLeast"/>
        <w:ind w:left="1260" w:hanging="1260"/>
        <w:jc w:val="both"/>
        <w:rPr>
          <w:rFonts w:eastAsia="Times New Roman" w:cs="Times New Roman"/>
          <w:b/>
        </w:rPr>
      </w:pPr>
    </w:p>
    <w:p w14:paraId="2C72CBBC" w14:textId="77777777"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11</w:t>
      </w:r>
      <w:r w:rsidR="00B402FD" w:rsidRPr="00BA6536">
        <w:rPr>
          <w:rFonts w:eastAsia="Times New Roman" w:cs="Times New Roman"/>
          <w:b/>
        </w:rPr>
        <w:tab/>
        <w:t>Implement housing policies contained in area plans, such as the workforce housing and density bonus policies of the June Lake Area Plan.</w:t>
      </w:r>
    </w:p>
    <w:p w14:paraId="4AFEBE8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327A5" w:rsidRPr="00BA6536">
        <w:rPr>
          <w:rFonts w:eastAsia="Times New Roman" w:cs="Times New Roman"/>
        </w:rPr>
        <w:t>CDD</w:t>
      </w:r>
    </w:p>
    <w:p w14:paraId="29E0ACC5"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2014, Ongoing</w:t>
      </w:r>
    </w:p>
    <w:p w14:paraId="2B50C5F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Application Fees, Grants</w:t>
      </w:r>
    </w:p>
    <w:p w14:paraId="54C7DB7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 xml:space="preserve">Regularly update RPACs on Area Plan housing policies, In 2014 extract regulations from Area Plans and move into new section of Land Use Element chapter 4. </w:t>
      </w:r>
    </w:p>
    <w:p w14:paraId="123A4CCE" w14:textId="77777777" w:rsidR="00B402FD" w:rsidRPr="00BA6536" w:rsidRDefault="00B402FD" w:rsidP="00B402FD">
      <w:pPr>
        <w:spacing w:after="0" w:line="280" w:lineRule="atLeast"/>
        <w:ind w:left="1260" w:hanging="1260"/>
        <w:jc w:val="both"/>
        <w:rPr>
          <w:rFonts w:eastAsia="Times New Roman" w:cs="Times New Roman"/>
          <w:b/>
        </w:rPr>
      </w:pPr>
    </w:p>
    <w:p w14:paraId="61A12AA3" w14:textId="77777777" w:rsidR="00B402FD" w:rsidRPr="00BA6536" w:rsidRDefault="00B402FD" w:rsidP="00B402FD">
      <w:pPr>
        <w:spacing w:after="0" w:line="280" w:lineRule="atLeast"/>
        <w:ind w:left="1260" w:hanging="1260"/>
        <w:jc w:val="both"/>
        <w:rPr>
          <w:rFonts w:eastAsia="Times New Roman" w:cs="Times New Roman"/>
          <w:b/>
        </w:rPr>
      </w:pPr>
      <w:r w:rsidRPr="00BA6536">
        <w:rPr>
          <w:rFonts w:eastAsia="Times New Roman" w:cs="Times New Roman"/>
          <w:b/>
        </w:rPr>
        <w:t>Progr</w:t>
      </w:r>
      <w:r w:rsidR="00022FE4">
        <w:rPr>
          <w:rFonts w:eastAsia="Times New Roman" w:cs="Times New Roman"/>
          <w:b/>
        </w:rPr>
        <w:t>am 1:</w:t>
      </w:r>
      <w:r w:rsidRPr="00BA6536">
        <w:rPr>
          <w:rFonts w:eastAsia="Times New Roman" w:cs="Times New Roman"/>
          <w:b/>
        </w:rPr>
        <w:t>12</w:t>
      </w:r>
      <w:r w:rsidRPr="00BA6536">
        <w:rPr>
          <w:rFonts w:eastAsia="Times New Roman" w:cs="Times New Roman"/>
          <w:b/>
        </w:rPr>
        <w:tab/>
        <w:t>Consistent with the Land Use Element, continue to require specific plans for large-scale development within community expansion areas. Specific plans allow for a variety of development and can streamline the development process.</w:t>
      </w:r>
    </w:p>
    <w:p w14:paraId="7EEDAB1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14:paraId="7EC8B50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14:paraId="74D6493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Application Fees</w:t>
      </w:r>
    </w:p>
    <w:p w14:paraId="5BC4150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Ongoing as development occurs.</w:t>
      </w:r>
    </w:p>
    <w:p w14:paraId="0C66A69A" w14:textId="77777777" w:rsidR="00B402FD" w:rsidRPr="00BA6536" w:rsidRDefault="00B402FD" w:rsidP="00B402FD">
      <w:pPr>
        <w:spacing w:after="0" w:line="280" w:lineRule="atLeast"/>
        <w:ind w:left="1260" w:hanging="1260"/>
        <w:jc w:val="both"/>
        <w:rPr>
          <w:rFonts w:eastAsia="Times New Roman" w:cs="Times New Roman"/>
          <w:b/>
        </w:rPr>
      </w:pPr>
    </w:p>
    <w:p w14:paraId="59121040" w14:textId="77777777"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13</w:t>
      </w:r>
      <w:r w:rsidR="00B402FD" w:rsidRPr="00BA6536">
        <w:rPr>
          <w:rFonts w:eastAsia="Times New Roman" w:cs="Times New Roman"/>
          <w:b/>
        </w:rPr>
        <w:tab/>
        <w:t xml:space="preserve">In conformance with state law, continue to permit manufactured housing on all parcels designated for conventional single-family residences. </w:t>
      </w:r>
    </w:p>
    <w:p w14:paraId="25064AD5"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14:paraId="7D71903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14:paraId="08B668B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Application Fees.</w:t>
      </w:r>
    </w:p>
    <w:p w14:paraId="58DC337C"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Ongoing as development occurs.</w:t>
      </w:r>
    </w:p>
    <w:p w14:paraId="12AFF152" w14:textId="77777777" w:rsidR="00751138" w:rsidRPr="00BA6536" w:rsidRDefault="00751138"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14:paraId="02C97F08" w14:textId="77777777" w:rsidR="00B402FD" w:rsidRPr="00BA6536" w:rsidRDefault="00022FE4" w:rsidP="00B402FD">
      <w:pPr>
        <w:tabs>
          <w:tab w:val="left" w:pos="2160"/>
          <w:tab w:val="left" w:pos="2880"/>
          <w:tab w:val="left" w:pos="3600"/>
          <w:tab w:val="left" w:pos="4320"/>
          <w:tab w:val="left" w:pos="5040"/>
          <w:tab w:val="left" w:pos="5760"/>
          <w:tab w:val="left" w:pos="6480"/>
          <w:tab w:val="left" w:pos="7200"/>
          <w:tab w:val="left" w:pos="792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14 Continue to permit mobile-home parks on all land planned and designated for residential land use, in conformance with state law. This also applies to mobile-home developments intended for sale as mobile-home condos or cooperative parks, or as mobile-home planned unit developments.</w:t>
      </w:r>
    </w:p>
    <w:p w14:paraId="071AF7C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14:paraId="30A044A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14:paraId="0F772783"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Application Fees.</w:t>
      </w:r>
    </w:p>
    <w:p w14:paraId="6933772F"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Ongoing as development occurs.</w:t>
      </w:r>
    </w:p>
    <w:p w14:paraId="76703D2B" w14:textId="77777777" w:rsidR="00B402FD" w:rsidRPr="00BA6536" w:rsidRDefault="00B402FD" w:rsidP="00B402FD">
      <w:pPr>
        <w:spacing w:after="0" w:line="280" w:lineRule="atLeast"/>
        <w:ind w:left="1260" w:hanging="1260"/>
        <w:jc w:val="both"/>
        <w:rPr>
          <w:rFonts w:eastAsia="Times New Roman" w:cs="Times New Roman"/>
          <w:b/>
        </w:rPr>
      </w:pPr>
    </w:p>
    <w:p w14:paraId="4AE7A324" w14:textId="77777777"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15</w:t>
      </w:r>
      <w:r w:rsidR="00B402FD" w:rsidRPr="00BA6536">
        <w:rPr>
          <w:rFonts w:eastAsia="Times New Roman" w:cs="Times New Roman"/>
          <w:b/>
        </w:rPr>
        <w:tab/>
        <w:t>Continue to implement the land development regulations regarding Manufactured Housing Subdivisions. These regulations provide for a higher density of single-family development and a relaxation of development standards.</w:t>
      </w:r>
    </w:p>
    <w:p w14:paraId="336A741F"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14:paraId="15F58D26" w14:textId="77777777" w:rsidR="00204556" w:rsidRPr="00BA6536" w:rsidRDefault="00E16F17" w:rsidP="00204556">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204556" w:rsidRPr="00BA6536">
        <w:rPr>
          <w:rFonts w:eastAsia="Times New Roman" w:cs="Times New Roman"/>
        </w:rPr>
        <w:t>Ongoing</w:t>
      </w:r>
    </w:p>
    <w:p w14:paraId="0834B403"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204556" w:rsidRPr="00BA6536">
        <w:rPr>
          <w:rFonts w:eastAsia="Times New Roman" w:cs="Times New Roman"/>
        </w:rPr>
        <w:t>Application Fees</w:t>
      </w:r>
    </w:p>
    <w:p w14:paraId="68EA9C5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204556" w:rsidRPr="00BA6536">
        <w:rPr>
          <w:rFonts w:eastAsia="Times New Roman" w:cs="Times New Roman"/>
        </w:rPr>
        <w:t>Ongoing as development occurs.</w:t>
      </w:r>
    </w:p>
    <w:p w14:paraId="0B7BEFB3" w14:textId="77777777" w:rsidR="00B402FD" w:rsidRPr="00BA6536" w:rsidRDefault="00B402FD" w:rsidP="00B402FD">
      <w:pPr>
        <w:spacing w:after="0" w:line="280" w:lineRule="atLeast"/>
        <w:ind w:left="1260" w:hanging="1260"/>
        <w:jc w:val="both"/>
        <w:rPr>
          <w:rFonts w:eastAsia="Times New Roman" w:cs="Times New Roman"/>
          <w:b/>
        </w:rPr>
      </w:pPr>
    </w:p>
    <w:p w14:paraId="2CA76DCF" w14:textId="77777777"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16</w:t>
      </w:r>
      <w:r w:rsidR="00B402FD" w:rsidRPr="00BA6536">
        <w:rPr>
          <w:rFonts w:eastAsia="Times New Roman" w:cs="Times New Roman"/>
          <w:b/>
        </w:rPr>
        <w:tab/>
        <w:t>Support a balance of jobs and housing in Mono County communities and the associated reduction in resident commute times by facilitating community job growth through economic development programs. Pursue grant funding for economic development projects that grow jobs and healthy communities capable of supporting more resident housing.</w:t>
      </w:r>
    </w:p>
    <w:p w14:paraId="2E2C787D"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ED, CDD, Housing Authority</w:t>
      </w:r>
    </w:p>
    <w:p w14:paraId="7B17288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14:paraId="427AAA1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Grants</w:t>
      </w:r>
    </w:p>
    <w:p w14:paraId="76DB4515"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 xml:space="preserve">Continue to pursue funding with focus on main street communities. </w:t>
      </w:r>
    </w:p>
    <w:p w14:paraId="54F640F2" w14:textId="77777777" w:rsidR="00B402FD" w:rsidRPr="00BA6536" w:rsidRDefault="00B402FD" w:rsidP="00B402FD">
      <w:pPr>
        <w:tabs>
          <w:tab w:val="left" w:pos="1440"/>
        </w:tabs>
        <w:spacing w:after="0" w:line="280" w:lineRule="atLeast"/>
        <w:ind w:left="1260" w:hanging="1260"/>
        <w:jc w:val="both"/>
        <w:rPr>
          <w:rFonts w:eastAsia="Times New Roman" w:cs="Times New Roman"/>
          <w:b/>
        </w:rPr>
      </w:pPr>
    </w:p>
    <w:p w14:paraId="062669BF" w14:textId="77777777"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17</w:t>
      </w:r>
      <w:r w:rsidR="00B402FD" w:rsidRPr="00BA6536">
        <w:rPr>
          <w:rFonts w:eastAsia="Times New Roman" w:cs="Times New Roman"/>
          <w:b/>
        </w:rPr>
        <w:tab/>
        <w:t>Implement provisions in the General Plan and Subdivision Ordinance that permit smaller minimum lot sizes where consistent with area plans and available infrastructure.</w:t>
      </w:r>
    </w:p>
    <w:p w14:paraId="0AB3721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14:paraId="212CD4E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14:paraId="4FF0F8D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Application Fees</w:t>
      </w:r>
    </w:p>
    <w:p w14:paraId="6A861B4D"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Ongoing as development occurs.</w:t>
      </w:r>
    </w:p>
    <w:p w14:paraId="35D24DB6" w14:textId="77777777" w:rsidR="00B402FD" w:rsidRPr="00BA6536" w:rsidRDefault="00B402FD" w:rsidP="00B402FD">
      <w:pPr>
        <w:tabs>
          <w:tab w:val="left" w:pos="1440"/>
        </w:tabs>
        <w:spacing w:after="0" w:line="280" w:lineRule="atLeast"/>
        <w:ind w:left="1260" w:hanging="1260"/>
        <w:jc w:val="both"/>
        <w:rPr>
          <w:rFonts w:eastAsia="Times New Roman" w:cs="Times New Roman"/>
          <w:b/>
        </w:rPr>
      </w:pPr>
    </w:p>
    <w:p w14:paraId="5FFC18CE" w14:textId="77777777"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18</w:t>
      </w:r>
      <w:r w:rsidR="00B402FD" w:rsidRPr="00BA6536">
        <w:rPr>
          <w:rFonts w:eastAsia="Times New Roman" w:cs="Times New Roman"/>
          <w:b/>
        </w:rPr>
        <w:tab/>
        <w:t>Reexamine residential limitations in area plans where new sewer, water or other infrastructure requirements, such as fire-flow requirements, allow for greater single-family densities. Consider amending the General Plan and area plans to allow for higher single-family densities in these areas.</w:t>
      </w:r>
    </w:p>
    <w:p w14:paraId="655080EF"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 LAFCO</w:t>
      </w:r>
    </w:p>
    <w:p w14:paraId="5C6F327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Timeframe:</w:t>
      </w:r>
      <w:r w:rsidR="007557A1" w:rsidRPr="00BA6536">
        <w:rPr>
          <w:rFonts w:eastAsia="Times New Roman" w:cs="Times New Roman"/>
        </w:rPr>
        <w:t xml:space="preserve"> 2014-2015</w:t>
      </w:r>
      <w:r w:rsidRPr="00BA6536">
        <w:rPr>
          <w:rFonts w:eastAsia="Times New Roman" w:cs="Times New Roman"/>
        </w:rPr>
        <w:t xml:space="preserve"> </w:t>
      </w:r>
    </w:p>
    <w:p w14:paraId="30EF7FF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Grants</w:t>
      </w:r>
    </w:p>
    <w:p w14:paraId="6F0D92F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 xml:space="preserve">Include residential limitation analysis in LAFCO MSR updates and General Plan build out updates. </w:t>
      </w:r>
    </w:p>
    <w:p w14:paraId="76CC7601" w14:textId="77777777" w:rsidR="00B402FD" w:rsidRPr="00BA6536" w:rsidRDefault="00B402FD" w:rsidP="00B402FD">
      <w:pPr>
        <w:tabs>
          <w:tab w:val="left" w:pos="2160"/>
          <w:tab w:val="left" w:pos="2880"/>
          <w:tab w:val="left" w:pos="3600"/>
          <w:tab w:val="left" w:pos="4320"/>
          <w:tab w:val="left" w:pos="5040"/>
          <w:tab w:val="left" w:pos="5760"/>
          <w:tab w:val="left" w:pos="6480"/>
          <w:tab w:val="left" w:pos="7200"/>
          <w:tab w:val="left" w:pos="7920"/>
        </w:tabs>
        <w:spacing w:after="0" w:line="280" w:lineRule="atLeast"/>
        <w:ind w:left="1260" w:hanging="1260"/>
        <w:jc w:val="both"/>
        <w:rPr>
          <w:rFonts w:eastAsia="Times New Roman" w:cs="Times New Roman"/>
          <w:b/>
        </w:rPr>
      </w:pPr>
    </w:p>
    <w:p w14:paraId="1CD807DD" w14:textId="77777777"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19</w:t>
      </w:r>
      <w:r w:rsidR="00B402FD" w:rsidRPr="00BA6536">
        <w:rPr>
          <w:rFonts w:eastAsia="Times New Roman" w:cs="Times New Roman"/>
          <w:b/>
        </w:rPr>
        <w:tab/>
        <w:t>Continue to allow for mixed-use development as a method of increasing the land base available for housing.</w:t>
      </w:r>
    </w:p>
    <w:p w14:paraId="26B27ABC"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14:paraId="281B42C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14:paraId="38DDCD3F"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Application Fees</w:t>
      </w:r>
    </w:p>
    <w:p w14:paraId="3017B48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Ongoing as development occurs.</w:t>
      </w:r>
    </w:p>
    <w:p w14:paraId="1875027F" w14:textId="77777777" w:rsidR="00B402FD" w:rsidRPr="00BA6536" w:rsidRDefault="00B402FD" w:rsidP="00B402FD">
      <w:pPr>
        <w:tabs>
          <w:tab w:val="left" w:pos="1440"/>
        </w:tabs>
        <w:spacing w:after="0" w:line="280" w:lineRule="atLeast"/>
        <w:ind w:left="1260" w:hanging="1260"/>
        <w:jc w:val="both"/>
        <w:rPr>
          <w:rFonts w:eastAsia="Times New Roman" w:cs="Times New Roman"/>
          <w:b/>
        </w:rPr>
      </w:pPr>
    </w:p>
    <w:p w14:paraId="5BED941B" w14:textId="77777777"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20</w:t>
      </w:r>
      <w:r w:rsidR="00B402FD" w:rsidRPr="00BA6536">
        <w:rPr>
          <w:rFonts w:eastAsia="Times New Roman" w:cs="Times New Roman"/>
          <w:b/>
        </w:rPr>
        <w:tab/>
        <w:t>Continue to allow for residential development in the commercial land use designation to more efficiently and economically utilize the county’s limited land base for housing.</w:t>
      </w:r>
    </w:p>
    <w:p w14:paraId="4457C51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E6A68" w:rsidRPr="00BA6536">
        <w:rPr>
          <w:rFonts w:eastAsia="Times New Roman" w:cs="Times New Roman"/>
        </w:rPr>
        <w:t>CDD</w:t>
      </w:r>
    </w:p>
    <w:p w14:paraId="763027A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14:paraId="306DB23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Application Fees</w:t>
      </w:r>
    </w:p>
    <w:p w14:paraId="7B59E62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Ongoing as development occurs.</w:t>
      </w:r>
    </w:p>
    <w:p w14:paraId="42DE6225" w14:textId="77777777" w:rsidR="00B402FD" w:rsidRPr="00BA6536" w:rsidRDefault="00B402FD" w:rsidP="00B402FD">
      <w:pPr>
        <w:tabs>
          <w:tab w:val="left" w:pos="1440"/>
        </w:tabs>
        <w:spacing w:after="0" w:line="280" w:lineRule="atLeast"/>
        <w:ind w:left="1260" w:hanging="1260"/>
        <w:jc w:val="both"/>
        <w:rPr>
          <w:rFonts w:eastAsia="Times New Roman" w:cs="Times New Roman"/>
          <w:b/>
        </w:rPr>
      </w:pPr>
    </w:p>
    <w:p w14:paraId="6867FD7B" w14:textId="77777777"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21</w:t>
      </w:r>
      <w:r w:rsidR="00B402FD" w:rsidRPr="00BA6536">
        <w:rPr>
          <w:rFonts w:eastAsia="Times New Roman" w:cs="Times New Roman"/>
          <w:b/>
        </w:rPr>
        <w:tab/>
        <w:t xml:space="preserve">Consider amending the General Plan and subdivision ordinance to allow for greater flexibility in subdivision design to encourage clustering, zero lot line and common-wall developments, and other residential design strategies that allow for development at the gross allowable density while preserving sensitive site features. </w:t>
      </w:r>
    </w:p>
    <w:p w14:paraId="787441E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 PW</w:t>
      </w:r>
    </w:p>
    <w:p w14:paraId="1F12370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2014</w:t>
      </w:r>
    </w:p>
    <w:p w14:paraId="18D5F33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Grants, General Fund</w:t>
      </w:r>
    </w:p>
    <w:p w14:paraId="62E05F7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 xml:space="preserve">Subdivision ordinance revisions currently undergoing legal review. </w:t>
      </w:r>
    </w:p>
    <w:p w14:paraId="54BC4ECC" w14:textId="77777777" w:rsidR="00E16F17" w:rsidRPr="00BA6536" w:rsidRDefault="00E16F17" w:rsidP="00B402FD">
      <w:pPr>
        <w:tabs>
          <w:tab w:val="left" w:pos="1440"/>
        </w:tabs>
        <w:spacing w:after="0" w:line="280" w:lineRule="atLeast"/>
        <w:ind w:left="1260" w:hanging="1260"/>
        <w:jc w:val="both"/>
        <w:rPr>
          <w:rFonts w:eastAsia="Times New Roman" w:cs="Times New Roman"/>
          <w:b/>
        </w:rPr>
      </w:pPr>
    </w:p>
    <w:p w14:paraId="5727C2C6" w14:textId="77777777"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22</w:t>
      </w:r>
      <w:r w:rsidR="00B402FD" w:rsidRPr="00BA6536">
        <w:rPr>
          <w:rFonts w:eastAsia="Times New Roman" w:cs="Times New Roman"/>
          <w:b/>
        </w:rPr>
        <w:tab/>
        <w:t xml:space="preserve">Examine the potential of allowing additional densities in existing specific plan areas within or adjacent to communities to better utilize available infrastructure and limited private land base. </w:t>
      </w:r>
    </w:p>
    <w:p w14:paraId="2B67F78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14:paraId="4E8FC87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14:paraId="7D0A4F93"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7557A1" w:rsidRPr="00BA6536">
        <w:rPr>
          <w:rFonts w:eastAsia="Times New Roman" w:cs="Times New Roman"/>
        </w:rPr>
        <w:t>Grants</w:t>
      </w:r>
    </w:p>
    <w:p w14:paraId="0F9BAC2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 xml:space="preserve">Continue to explore with RPACS and community groups. </w:t>
      </w:r>
    </w:p>
    <w:p w14:paraId="6227D717" w14:textId="77777777" w:rsidR="00B402FD" w:rsidRPr="00BA6536" w:rsidRDefault="00B402FD" w:rsidP="00B402FD">
      <w:pPr>
        <w:tabs>
          <w:tab w:val="left" w:pos="1440"/>
        </w:tabs>
        <w:spacing w:after="0" w:line="280" w:lineRule="atLeast"/>
        <w:ind w:left="1260" w:hanging="1260"/>
        <w:jc w:val="both"/>
        <w:rPr>
          <w:rFonts w:eastAsia="Times New Roman" w:cs="Times New Roman"/>
          <w:b/>
        </w:rPr>
      </w:pPr>
    </w:p>
    <w:p w14:paraId="2D736A6B" w14:textId="77777777"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23</w:t>
      </w:r>
      <w:r w:rsidR="00B402FD" w:rsidRPr="00BA6536">
        <w:rPr>
          <w:rFonts w:eastAsia="Times New Roman" w:cs="Times New Roman"/>
          <w:b/>
        </w:rPr>
        <w:tab/>
        <w:t xml:space="preserve">Consider establishing minimum allowable densities (in addition to retaining maximum density restrictions) in appropriate community areas to encourage resident housing. </w:t>
      </w:r>
    </w:p>
    <w:p w14:paraId="3FC6554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14:paraId="36C2466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7557A1" w:rsidRPr="00BA6536">
        <w:rPr>
          <w:rFonts w:eastAsia="Times New Roman" w:cs="Times New Roman"/>
        </w:rPr>
        <w:t>Ongoing</w:t>
      </w:r>
    </w:p>
    <w:p w14:paraId="5614C84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General Fund</w:t>
      </w:r>
    </w:p>
    <w:p w14:paraId="7654D96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557A1" w:rsidRPr="00BA6536">
        <w:rPr>
          <w:rFonts w:eastAsia="Times New Roman" w:cs="Times New Roman"/>
        </w:rPr>
        <w:t>Continue to consider</w:t>
      </w:r>
      <w:r w:rsidR="00C63319" w:rsidRPr="00BA6536">
        <w:rPr>
          <w:rFonts w:eastAsia="Times New Roman" w:cs="Times New Roman"/>
        </w:rPr>
        <w:t xml:space="preserve"> with RPACs and community groups</w:t>
      </w:r>
      <w:r w:rsidR="007557A1" w:rsidRPr="00BA6536">
        <w:rPr>
          <w:rFonts w:eastAsia="Times New Roman" w:cs="Times New Roman"/>
        </w:rPr>
        <w:t xml:space="preserve"> as development occurs.</w:t>
      </w:r>
    </w:p>
    <w:p w14:paraId="30247346" w14:textId="77777777" w:rsidR="00B402FD" w:rsidRPr="00BA6536" w:rsidRDefault="00B402FD" w:rsidP="00B402FD">
      <w:pPr>
        <w:tabs>
          <w:tab w:val="left" w:pos="1440"/>
        </w:tabs>
        <w:spacing w:after="0" w:line="280" w:lineRule="atLeast"/>
        <w:ind w:left="1260" w:hanging="1260"/>
        <w:jc w:val="both"/>
        <w:rPr>
          <w:rFonts w:eastAsia="Times New Roman" w:cs="Times New Roman"/>
          <w:b/>
        </w:rPr>
      </w:pPr>
    </w:p>
    <w:p w14:paraId="016702D9" w14:textId="77777777"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24</w:t>
      </w:r>
      <w:r w:rsidR="00B402FD" w:rsidRPr="00BA6536">
        <w:rPr>
          <w:rFonts w:eastAsia="Times New Roman" w:cs="Times New Roman"/>
          <w:b/>
        </w:rPr>
        <w:tab/>
        <w:t xml:space="preserve">Continue development credit programs in agricultural valleys such as Bridgeport and Hammil that promote the retention of large agricultural parcels for farming purposes by requiring clustered residential development on smaller parcels. </w:t>
      </w:r>
    </w:p>
    <w:p w14:paraId="67E4FE1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14:paraId="56F3DE1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2014</w:t>
      </w:r>
    </w:p>
    <w:p w14:paraId="649B1C33"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Grants</w:t>
      </w:r>
    </w:p>
    <w:p w14:paraId="2D95AB3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 xml:space="preserve">Program will be reorganized into broader Agricultural Policies chapter of General Plan, clustering polices will be strengthened and provisions for expansion of the program will be detailed. </w:t>
      </w:r>
    </w:p>
    <w:p w14:paraId="61D54865" w14:textId="77777777" w:rsidR="00B402FD" w:rsidRPr="00BA6536" w:rsidRDefault="00B402FD" w:rsidP="00B402FD">
      <w:pPr>
        <w:tabs>
          <w:tab w:val="left" w:pos="1440"/>
        </w:tabs>
        <w:spacing w:after="0" w:line="280" w:lineRule="atLeast"/>
        <w:ind w:left="1260" w:hanging="1260"/>
        <w:jc w:val="both"/>
        <w:rPr>
          <w:rFonts w:eastAsia="Times New Roman" w:cs="Times New Roman"/>
          <w:b/>
        </w:rPr>
      </w:pPr>
    </w:p>
    <w:p w14:paraId="4E47437A" w14:textId="77777777" w:rsidR="00B402FD" w:rsidRPr="00BA6536" w:rsidRDefault="00022FE4" w:rsidP="00B402FD">
      <w:pPr>
        <w:tabs>
          <w:tab w:val="left" w:pos="1440"/>
        </w:tabs>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25</w:t>
      </w:r>
      <w:r w:rsidR="00B402FD" w:rsidRPr="00BA6536">
        <w:rPr>
          <w:rFonts w:eastAsia="Times New Roman" w:cs="Times New Roman"/>
          <w:b/>
        </w:rPr>
        <w:tab/>
        <w:t xml:space="preserve">Develop and implement a web-based program to connect second-home owners with those needing seasonal housing and consider methods of encouraging second-home owners to make vacation units available for resident use or seasonal employee housing. </w:t>
      </w:r>
    </w:p>
    <w:p w14:paraId="1EF471A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 IT</w:t>
      </w:r>
    </w:p>
    <w:p w14:paraId="22B9788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2014</w:t>
      </w:r>
    </w:p>
    <w:p w14:paraId="4050960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Grants</w:t>
      </w:r>
    </w:p>
    <w:p w14:paraId="6E974D1F"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 xml:space="preserve">Use GIS to create pilot web map tool. </w:t>
      </w:r>
    </w:p>
    <w:p w14:paraId="3D769745" w14:textId="77777777" w:rsidR="00E16F17" w:rsidRPr="00BA6536" w:rsidRDefault="00E16F17" w:rsidP="00B402FD">
      <w:pPr>
        <w:spacing w:after="0" w:line="280" w:lineRule="atLeast"/>
        <w:ind w:left="1260" w:hanging="1260"/>
        <w:jc w:val="both"/>
        <w:rPr>
          <w:rFonts w:eastAsia="Times New Roman" w:cs="Times New Roman"/>
          <w:b/>
        </w:rPr>
      </w:pPr>
    </w:p>
    <w:p w14:paraId="09961965" w14:textId="77777777" w:rsidR="00E16F17" w:rsidRPr="00BA6536" w:rsidRDefault="00022FE4" w:rsidP="00E16F17">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26</w:t>
      </w:r>
      <w:r w:rsidR="00B402FD" w:rsidRPr="00BA6536">
        <w:rPr>
          <w:rFonts w:eastAsia="Times New Roman" w:cs="Times New Roman"/>
          <w:b/>
        </w:rPr>
        <w:tab/>
        <w:t>Continue to utilize the Director Review permit process (ministerial permit process) to allow multifamily in multifamily designations</w:t>
      </w:r>
      <w:r w:rsidR="00E16F17" w:rsidRPr="00BA6536">
        <w:rPr>
          <w:rFonts w:eastAsia="Times New Roman" w:cs="Times New Roman"/>
          <w:b/>
        </w:rPr>
        <w:t xml:space="preserve"> and designations such as MFR-M.</w:t>
      </w:r>
    </w:p>
    <w:p w14:paraId="5E58FDAC"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14:paraId="1708A25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Ongoing</w:t>
      </w:r>
    </w:p>
    <w:p w14:paraId="41491BA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Application Fees</w:t>
      </w:r>
    </w:p>
    <w:p w14:paraId="2CB5CD8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Ongoing as development occurs.</w:t>
      </w:r>
    </w:p>
    <w:p w14:paraId="559A65F2" w14:textId="77777777" w:rsidR="00E16F17" w:rsidRPr="00BA6536" w:rsidRDefault="00E16F17" w:rsidP="00B402FD">
      <w:pPr>
        <w:spacing w:after="0" w:line="280" w:lineRule="atLeast"/>
        <w:ind w:left="1260" w:hanging="1260"/>
        <w:jc w:val="both"/>
        <w:rPr>
          <w:rFonts w:eastAsia="Times New Roman" w:cs="Times New Roman"/>
          <w:b/>
        </w:rPr>
      </w:pPr>
    </w:p>
    <w:p w14:paraId="1F45CDB5" w14:textId="77777777" w:rsidR="00B402FD" w:rsidRPr="00BA6536" w:rsidRDefault="00022FE4" w:rsidP="00B402FD">
      <w:pPr>
        <w:spacing w:after="0" w:line="280" w:lineRule="atLeast"/>
        <w:ind w:left="1260" w:hanging="1260"/>
        <w:jc w:val="both"/>
        <w:rPr>
          <w:rFonts w:eastAsia="Times New Roman" w:cs="Times New Roman"/>
          <w:b/>
        </w:rPr>
      </w:pPr>
      <w:r>
        <w:rPr>
          <w:rFonts w:eastAsia="Times New Roman" w:cs="Times New Roman"/>
          <w:b/>
        </w:rPr>
        <w:t>Program 1:</w:t>
      </w:r>
      <w:r w:rsidR="00B402FD" w:rsidRPr="00BA6536">
        <w:rPr>
          <w:rFonts w:eastAsia="Times New Roman" w:cs="Times New Roman"/>
          <w:b/>
        </w:rPr>
        <w:t>27</w:t>
      </w:r>
      <w:r w:rsidR="00B402FD" w:rsidRPr="00BA6536">
        <w:rPr>
          <w:rFonts w:eastAsia="Times New Roman" w:cs="Times New Roman"/>
          <w:b/>
        </w:rPr>
        <w:tab/>
        <w:t>In compliance with Government Code Section 65583(a)(4), allow emergency shelters in at least one land use designation without a use permit or other discretionary permit. Amend the General Plan Land Use Element to a) include a definition of Emergency Shelter; b) allow emergency shelters outright in the multi-family land designations (such as MFR); and c) stipulate that emergency shelters will only be subject to the same development and management standards that apply to other allowed uses with these designations.</w:t>
      </w:r>
    </w:p>
    <w:p w14:paraId="53F1559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14:paraId="6C6D94F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2014</w:t>
      </w:r>
    </w:p>
    <w:p w14:paraId="42F7AA8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Grants</w:t>
      </w:r>
    </w:p>
    <w:p w14:paraId="3255FA4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 xml:space="preserve">Consider adding emergency shelters as a permitted use in MFR designations (currently permitted in PF designation)  </w:t>
      </w:r>
    </w:p>
    <w:p w14:paraId="276E30BC" w14:textId="77777777" w:rsidR="00B402FD" w:rsidRPr="00BA6536" w:rsidRDefault="00B402FD" w:rsidP="00B402FD">
      <w:pPr>
        <w:tabs>
          <w:tab w:val="left" w:pos="1440"/>
        </w:tabs>
        <w:spacing w:after="0" w:line="280" w:lineRule="atLeast"/>
        <w:ind w:left="1260" w:hanging="1260"/>
        <w:jc w:val="both"/>
        <w:rPr>
          <w:rFonts w:eastAsia="Times New Roman" w:cs="Times New Roman"/>
          <w:b/>
        </w:rPr>
      </w:pPr>
    </w:p>
    <w:p w14:paraId="49505AB6" w14:textId="77777777" w:rsidR="00B402FD" w:rsidRPr="00BA6536" w:rsidRDefault="00B402FD" w:rsidP="00B80A5B">
      <w:pPr>
        <w:tabs>
          <w:tab w:val="left" w:pos="2160"/>
          <w:tab w:val="left" w:pos="2880"/>
          <w:tab w:val="left" w:pos="3600"/>
          <w:tab w:val="left" w:pos="4320"/>
          <w:tab w:val="left" w:pos="5040"/>
          <w:tab w:val="left" w:pos="5760"/>
          <w:tab w:val="left" w:pos="6480"/>
          <w:tab w:val="left" w:pos="7200"/>
          <w:tab w:val="left" w:pos="7920"/>
        </w:tabs>
        <w:spacing w:after="0" w:line="280" w:lineRule="atLeast"/>
        <w:jc w:val="both"/>
        <w:rPr>
          <w:rFonts w:eastAsia="Times New Roman" w:cs="Times New Roman"/>
        </w:rPr>
      </w:pPr>
    </w:p>
    <w:p w14:paraId="2AB4DDB9" w14:textId="77777777" w:rsidR="00751138" w:rsidRPr="00BA6536" w:rsidRDefault="002E1FEA" w:rsidP="003D5E81">
      <w:pPr>
        <w:pStyle w:val="Heading3"/>
      </w:pPr>
      <w:bookmarkStart w:id="412" w:name="_Toc383700179"/>
      <w:r>
        <w:t xml:space="preserve">b. </w:t>
      </w:r>
      <w:r w:rsidR="00751138" w:rsidRPr="00BA6536">
        <w:t>HOUSING FOR LOW AND MODERATE INCOMES</w:t>
      </w:r>
      <w:bookmarkEnd w:id="412"/>
    </w:p>
    <w:p w14:paraId="77AAC15E" w14:textId="77777777" w:rsidR="0071753C" w:rsidRPr="00BA6536" w:rsidRDefault="0071753C" w:rsidP="0071753C">
      <w:pPr>
        <w:pStyle w:val="BodyText"/>
        <w:spacing w:before="120" w:after="0" w:line="280" w:lineRule="atLeast"/>
        <w:ind w:left="1080" w:hanging="1080"/>
        <w:jc w:val="both"/>
        <w:rPr>
          <w:rFonts w:asciiTheme="minorHAnsi" w:hAnsiTheme="minorHAnsi"/>
          <w:sz w:val="22"/>
          <w:szCs w:val="22"/>
        </w:rPr>
      </w:pPr>
      <w:r w:rsidRPr="00BA6536">
        <w:rPr>
          <w:rFonts w:asciiTheme="minorHAnsi" w:hAnsiTheme="minorHAnsi"/>
          <w:sz w:val="22"/>
          <w:szCs w:val="22"/>
        </w:rPr>
        <w:t>Goal</w:t>
      </w:r>
      <w:r w:rsidRPr="00BA6536">
        <w:rPr>
          <w:rFonts w:asciiTheme="minorHAnsi" w:hAnsiTheme="minorHAnsi"/>
          <w:sz w:val="22"/>
          <w:szCs w:val="22"/>
        </w:rPr>
        <w:tab/>
        <w:t>Consistent with state requirements, pursue creative, economical and sustainable ways to house low- and moderate-income groups.</w:t>
      </w:r>
    </w:p>
    <w:p w14:paraId="6CC93812" w14:textId="77777777" w:rsidR="0071753C" w:rsidRPr="00BA6536" w:rsidRDefault="0071753C" w:rsidP="0071753C">
      <w:pPr>
        <w:spacing w:line="280" w:lineRule="atLeast"/>
        <w:ind w:left="1080" w:hanging="1080"/>
        <w:jc w:val="both"/>
      </w:pPr>
    </w:p>
    <w:p w14:paraId="7E78ED5E" w14:textId="77777777" w:rsidR="0071753C" w:rsidRPr="00BA6536" w:rsidRDefault="0071753C" w:rsidP="0071753C">
      <w:pPr>
        <w:spacing w:line="280" w:lineRule="atLeast"/>
        <w:ind w:left="1080" w:hanging="1080"/>
        <w:jc w:val="both"/>
      </w:pPr>
      <w:r w:rsidRPr="00BA6536">
        <w:t>Policy 1</w:t>
      </w:r>
      <w:r w:rsidRPr="00BA6536">
        <w:tab/>
        <w:t xml:space="preserve">Facilitate the provision of affordable housing to meet the needs of all economic segments and special housing groups. </w:t>
      </w:r>
    </w:p>
    <w:p w14:paraId="00371F78" w14:textId="77777777" w:rsidR="0071753C" w:rsidRPr="00BA6536" w:rsidRDefault="0071753C" w:rsidP="0071753C">
      <w:pPr>
        <w:spacing w:line="280" w:lineRule="atLeast"/>
        <w:ind w:left="1080" w:hanging="1080"/>
        <w:jc w:val="both"/>
      </w:pPr>
      <w:r w:rsidRPr="00BA6536">
        <w:t>Policy 2</w:t>
      </w:r>
      <w:r w:rsidRPr="00BA6536">
        <w:tab/>
        <w:t>Plan for a sufficient number of affordable/employee housing units, including affordable family sized units to meet resident needs in each community.</w:t>
      </w:r>
    </w:p>
    <w:p w14:paraId="5DBEFCDC" w14:textId="77777777" w:rsidR="0071753C" w:rsidRPr="00BA6536" w:rsidRDefault="0071753C" w:rsidP="0071753C">
      <w:pPr>
        <w:spacing w:line="280" w:lineRule="atLeast"/>
        <w:ind w:left="1080" w:hanging="1080"/>
        <w:jc w:val="both"/>
      </w:pPr>
      <w:r w:rsidRPr="00BA6536">
        <w:t>Policy 3</w:t>
      </w:r>
      <w:r w:rsidRPr="00BA6536">
        <w:tab/>
        <w:t>Increase the housing stock to provide for affordable/employee housing units by promoting the use of existing recreational second-home units for permanent residents.</w:t>
      </w:r>
    </w:p>
    <w:p w14:paraId="02F75B98" w14:textId="77777777" w:rsidR="0071753C" w:rsidRPr="00BA6536" w:rsidRDefault="0071753C" w:rsidP="0071753C">
      <w:pPr>
        <w:spacing w:line="280" w:lineRule="atLeast"/>
        <w:ind w:left="1080" w:hanging="1080"/>
        <w:jc w:val="both"/>
      </w:pPr>
      <w:r w:rsidRPr="00BA6536">
        <w:t>Policy 4</w:t>
      </w:r>
      <w:r w:rsidRPr="00BA6536">
        <w:tab/>
        <w:t>Promote a jobs/housing balance by awarding residents employed in their community preferential access to community housing programs, such housing purchases or rentals in that community.</w:t>
      </w:r>
    </w:p>
    <w:p w14:paraId="668185A5" w14:textId="77777777" w:rsidR="0071753C" w:rsidRPr="00BA6536" w:rsidRDefault="0071753C" w:rsidP="0071753C">
      <w:pPr>
        <w:spacing w:line="280" w:lineRule="atLeast"/>
        <w:ind w:left="1080" w:hanging="1080"/>
        <w:jc w:val="both"/>
      </w:pPr>
      <w:r w:rsidRPr="00BA6536">
        <w:t>Policy 5</w:t>
      </w:r>
      <w:r w:rsidRPr="00BA6536">
        <w:tab/>
        <w:t>Require new development projects to provide their fair share of affordable housing units – an amount sufficient to accommodate the affordable housing demand created by the development project. Refine and continue use of inclusionary housing requirements to reflect a fair share contribution of units, in-lieu fees, land, etc. Coordinate regional housing mitigation and fee impact programs with those of the Town of Mammoth Lakes.</w:t>
      </w:r>
    </w:p>
    <w:p w14:paraId="11F10A53" w14:textId="77777777" w:rsidR="0071753C" w:rsidRPr="00BA6536" w:rsidRDefault="0071753C" w:rsidP="0071753C">
      <w:pPr>
        <w:spacing w:line="280" w:lineRule="atLeast"/>
        <w:ind w:left="1080" w:hanging="1080"/>
        <w:jc w:val="both"/>
      </w:pPr>
      <w:r w:rsidRPr="00BA6536">
        <w:t>Policy 6</w:t>
      </w:r>
      <w:r w:rsidRPr="00BA6536">
        <w:tab/>
        <w:t xml:space="preserve">Pursue a variety of techniques, such as equity sharing, deed restrictions, and public or nonprofit ownership of affordable housing units in order to maintain the affordability of those units. </w:t>
      </w:r>
    </w:p>
    <w:p w14:paraId="6725D489" w14:textId="77777777" w:rsidR="0071753C" w:rsidRPr="00BA6536" w:rsidRDefault="0071753C" w:rsidP="0071753C">
      <w:pPr>
        <w:spacing w:line="280" w:lineRule="atLeast"/>
        <w:ind w:left="1080" w:hanging="1080"/>
        <w:jc w:val="both"/>
      </w:pPr>
      <w:r w:rsidRPr="00BA6536">
        <w:t>Policy 7</w:t>
      </w:r>
      <w:r w:rsidRPr="00BA6536">
        <w:tab/>
        <w:t>Develop a range of approaches to affordable housing that address rental units, home ownership and alternative approaches to affordable housing, such as:</w:t>
      </w:r>
    </w:p>
    <w:p w14:paraId="3157896D" w14:textId="77777777" w:rsidR="0071753C" w:rsidRPr="00BA6536" w:rsidRDefault="0071753C" w:rsidP="0071753C">
      <w:pPr>
        <w:numPr>
          <w:ilvl w:val="0"/>
          <w:numId w:val="4"/>
        </w:numPr>
        <w:tabs>
          <w:tab w:val="clear" w:pos="360"/>
          <w:tab w:val="num" w:pos="1440"/>
        </w:tabs>
        <w:spacing w:after="0" w:line="280" w:lineRule="atLeast"/>
        <w:ind w:left="1440"/>
        <w:jc w:val="both"/>
      </w:pPr>
      <w:r w:rsidRPr="00BA6536">
        <w:t>a threshold fund that provides zero interest security deposit loans for tenants;</w:t>
      </w:r>
    </w:p>
    <w:p w14:paraId="063FE588" w14:textId="77777777" w:rsidR="0071753C" w:rsidRPr="00BA6536" w:rsidRDefault="0071753C" w:rsidP="0071753C">
      <w:pPr>
        <w:numPr>
          <w:ilvl w:val="0"/>
          <w:numId w:val="4"/>
        </w:numPr>
        <w:tabs>
          <w:tab w:val="clear" w:pos="360"/>
          <w:tab w:val="num" w:pos="1440"/>
        </w:tabs>
        <w:spacing w:after="0" w:line="280" w:lineRule="atLeast"/>
        <w:ind w:left="1440"/>
        <w:jc w:val="both"/>
      </w:pPr>
      <w:r w:rsidRPr="00BA6536">
        <w:t>apartments for fixed-income seniors;</w:t>
      </w:r>
    </w:p>
    <w:p w14:paraId="5C553818" w14:textId="77777777" w:rsidR="0071753C" w:rsidRPr="00BA6536" w:rsidRDefault="0071753C" w:rsidP="0071753C">
      <w:pPr>
        <w:numPr>
          <w:ilvl w:val="0"/>
          <w:numId w:val="4"/>
        </w:numPr>
        <w:tabs>
          <w:tab w:val="clear" w:pos="360"/>
          <w:tab w:val="num" w:pos="1440"/>
        </w:tabs>
        <w:spacing w:after="0" w:line="280" w:lineRule="atLeast"/>
        <w:ind w:left="1440"/>
        <w:jc w:val="both"/>
      </w:pPr>
      <w:r w:rsidRPr="00BA6536">
        <w:t>a community land trust used to acquire land for housing;</w:t>
      </w:r>
    </w:p>
    <w:p w14:paraId="4C55D892" w14:textId="77777777" w:rsidR="0071753C" w:rsidRPr="00BA6536" w:rsidRDefault="0071753C" w:rsidP="0071753C">
      <w:pPr>
        <w:numPr>
          <w:ilvl w:val="0"/>
          <w:numId w:val="4"/>
        </w:numPr>
        <w:tabs>
          <w:tab w:val="clear" w:pos="360"/>
          <w:tab w:val="num" w:pos="1440"/>
        </w:tabs>
        <w:spacing w:after="0" w:line="280" w:lineRule="atLeast"/>
        <w:ind w:left="1440"/>
        <w:jc w:val="both"/>
      </w:pPr>
      <w:r w:rsidRPr="00BA6536">
        <w:t>sweat-equity programs that enable first-time buyers to contribute their time/labor toward the purchase of a home;</w:t>
      </w:r>
    </w:p>
    <w:p w14:paraId="14622971" w14:textId="77777777" w:rsidR="0071753C" w:rsidRPr="00BA6536" w:rsidRDefault="0071753C" w:rsidP="0071753C">
      <w:pPr>
        <w:numPr>
          <w:ilvl w:val="0"/>
          <w:numId w:val="4"/>
        </w:numPr>
        <w:tabs>
          <w:tab w:val="clear" w:pos="360"/>
          <w:tab w:val="num" w:pos="1440"/>
        </w:tabs>
        <w:spacing w:after="0" w:line="280" w:lineRule="atLeast"/>
        <w:ind w:left="1440"/>
        <w:jc w:val="both"/>
      </w:pPr>
      <w:r w:rsidRPr="00BA6536">
        <w:t>co-housing for income qualified buyers;</w:t>
      </w:r>
    </w:p>
    <w:p w14:paraId="14DC83B5" w14:textId="77777777" w:rsidR="0071753C" w:rsidRPr="00BA6536" w:rsidRDefault="0071753C" w:rsidP="0071753C">
      <w:pPr>
        <w:numPr>
          <w:ilvl w:val="0"/>
          <w:numId w:val="4"/>
        </w:numPr>
        <w:tabs>
          <w:tab w:val="clear" w:pos="360"/>
          <w:tab w:val="num" w:pos="1440"/>
        </w:tabs>
        <w:spacing w:after="0" w:line="280" w:lineRule="atLeast"/>
        <w:ind w:left="1440"/>
        <w:jc w:val="both"/>
      </w:pPr>
      <w:r w:rsidRPr="00BA6536">
        <w:t>deed restrictions;</w:t>
      </w:r>
    </w:p>
    <w:p w14:paraId="6AB57E4F" w14:textId="77777777" w:rsidR="0071753C" w:rsidRPr="00BA6536" w:rsidRDefault="0071753C" w:rsidP="0071753C">
      <w:pPr>
        <w:numPr>
          <w:ilvl w:val="0"/>
          <w:numId w:val="4"/>
        </w:numPr>
        <w:tabs>
          <w:tab w:val="clear" w:pos="360"/>
          <w:tab w:val="num" w:pos="1440"/>
        </w:tabs>
        <w:spacing w:after="0" w:line="280" w:lineRule="atLeast"/>
        <w:ind w:left="1440"/>
        <w:jc w:val="both"/>
      </w:pPr>
      <w:r w:rsidRPr="00BA6536">
        <w:t>energy efficient designs; and</w:t>
      </w:r>
    </w:p>
    <w:p w14:paraId="4FBB8872" w14:textId="77777777" w:rsidR="0071753C" w:rsidRPr="00BA6536" w:rsidRDefault="0071753C" w:rsidP="0071753C">
      <w:pPr>
        <w:numPr>
          <w:ilvl w:val="0"/>
          <w:numId w:val="4"/>
        </w:numPr>
        <w:tabs>
          <w:tab w:val="clear" w:pos="360"/>
          <w:tab w:val="num" w:pos="1440"/>
        </w:tabs>
        <w:spacing w:after="0" w:line="280" w:lineRule="atLeast"/>
        <w:ind w:left="1440"/>
        <w:jc w:val="both"/>
      </w:pPr>
      <w:r w:rsidRPr="00BA6536">
        <w:t>"share a house" programs designed to ease the burden of housing costs for residents, including seniors and disabled.</w:t>
      </w:r>
    </w:p>
    <w:p w14:paraId="686E5EE5"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p>
    <w:p w14:paraId="6D3B5D17"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8</w:t>
      </w:r>
      <w:r w:rsidRPr="00BA6536">
        <w:rPr>
          <w:rFonts w:asciiTheme="minorHAnsi" w:hAnsiTheme="minorHAnsi"/>
          <w:sz w:val="22"/>
          <w:szCs w:val="22"/>
        </w:rPr>
        <w:tab/>
        <w:t xml:space="preserve">Work to develop a variety of affordable housing unit types within community areas. </w:t>
      </w:r>
    </w:p>
    <w:p w14:paraId="196F3CC2"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p>
    <w:p w14:paraId="5B7AACA0"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 xml:space="preserve">Policy 9 </w:t>
      </w:r>
      <w:r w:rsidRPr="00BA6536">
        <w:rPr>
          <w:rFonts w:asciiTheme="minorHAnsi" w:hAnsiTheme="minorHAnsi"/>
          <w:sz w:val="22"/>
          <w:szCs w:val="22"/>
        </w:rPr>
        <w:tab/>
        <w:t xml:space="preserve">Based upon state regional housing need allocations, assign proportionate housing targets to unincorporated communities. Assist each community in meeting these targets and providing for its fair share of the unincorporated housing need. </w:t>
      </w:r>
    </w:p>
    <w:p w14:paraId="0C3D6147" w14:textId="77777777" w:rsidR="00782A83" w:rsidRPr="00BA6536" w:rsidRDefault="00782A83" w:rsidP="00782A83">
      <w:pPr>
        <w:spacing w:after="0" w:line="280" w:lineRule="atLeast"/>
        <w:ind w:left="1267" w:hanging="1267"/>
        <w:jc w:val="both"/>
        <w:rPr>
          <w:rFonts w:eastAsia="Times New Roman" w:cs="Times New Roman"/>
          <w:b/>
        </w:rPr>
      </w:pPr>
    </w:p>
    <w:p w14:paraId="29C98A88" w14:textId="77777777" w:rsidR="00782A83" w:rsidRPr="00BA6536" w:rsidRDefault="00022FE4" w:rsidP="00782A83">
      <w:pPr>
        <w:spacing w:after="0" w:line="280" w:lineRule="atLeast"/>
        <w:ind w:left="1267" w:hanging="1267"/>
        <w:jc w:val="both"/>
        <w:rPr>
          <w:rFonts w:eastAsia="Times New Roman" w:cs="Times New Roman"/>
          <w:b/>
          <w:strike/>
        </w:rPr>
      </w:pPr>
      <w:r>
        <w:rPr>
          <w:rFonts w:eastAsia="Times New Roman" w:cs="Times New Roman"/>
          <w:b/>
        </w:rPr>
        <w:t>Program 2:1</w:t>
      </w:r>
      <w:r w:rsidR="00782A83" w:rsidRPr="00BA6536">
        <w:rPr>
          <w:rFonts w:eastAsia="Times New Roman" w:cs="Times New Roman"/>
          <w:b/>
        </w:rPr>
        <w:tab/>
        <w:t xml:space="preserve">The Board of Supervisors shall award density bonuses for projects incorporating affordable housing consistent with the Mono County Housing Mitigation Requirements (Chapter 15.40, Mono County Code).  </w:t>
      </w:r>
    </w:p>
    <w:p w14:paraId="33D43D8D"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BOS, CDD</w:t>
      </w:r>
    </w:p>
    <w:p w14:paraId="704A2243"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Timeframe:</w:t>
      </w:r>
      <w:r w:rsidR="00C63319" w:rsidRPr="00BA6536">
        <w:rPr>
          <w:rFonts w:eastAsia="Times New Roman" w:cs="Times New Roman"/>
        </w:rPr>
        <w:t xml:space="preserve"> Ongoing</w:t>
      </w:r>
      <w:r w:rsidRPr="00BA6536">
        <w:rPr>
          <w:rFonts w:eastAsia="Times New Roman" w:cs="Times New Roman"/>
        </w:rPr>
        <w:t xml:space="preserve"> </w:t>
      </w:r>
    </w:p>
    <w:p w14:paraId="67114E9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Application Fees</w:t>
      </w:r>
    </w:p>
    <w:p w14:paraId="1E00C03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 xml:space="preserve">Ongoing as development occurs.  </w:t>
      </w:r>
    </w:p>
    <w:p w14:paraId="1DDAAACA" w14:textId="77777777" w:rsidR="00782A83" w:rsidRPr="00BA6536" w:rsidRDefault="00782A83" w:rsidP="00782A83">
      <w:pPr>
        <w:spacing w:after="0" w:line="280" w:lineRule="atLeast"/>
        <w:ind w:left="1260" w:hanging="1260"/>
        <w:jc w:val="both"/>
        <w:rPr>
          <w:rFonts w:eastAsia="Times New Roman" w:cs="Times New Roman"/>
          <w:b/>
        </w:rPr>
      </w:pPr>
    </w:p>
    <w:p w14:paraId="68D6D2AF" w14:textId="77777777" w:rsidR="00782A83" w:rsidRPr="00BA6536" w:rsidRDefault="00022FE4" w:rsidP="00782A83">
      <w:pPr>
        <w:spacing w:after="0" w:line="280" w:lineRule="atLeast"/>
        <w:ind w:left="1260" w:hanging="1260"/>
        <w:jc w:val="both"/>
        <w:rPr>
          <w:rFonts w:eastAsia="Times New Roman" w:cs="Times New Roman"/>
          <w:b/>
          <w:i/>
        </w:rPr>
      </w:pPr>
      <w:r>
        <w:rPr>
          <w:rFonts w:eastAsia="Times New Roman" w:cs="Times New Roman"/>
          <w:b/>
        </w:rPr>
        <w:t xml:space="preserve">Program 2:2 </w:t>
      </w:r>
      <w:r>
        <w:rPr>
          <w:rFonts w:eastAsia="Times New Roman" w:cs="Times New Roman"/>
          <w:b/>
        </w:rPr>
        <w:tab/>
      </w:r>
      <w:r w:rsidR="00782A83" w:rsidRPr="00BA6536">
        <w:rPr>
          <w:rFonts w:eastAsia="Times New Roman" w:cs="Times New Roman"/>
          <w:b/>
        </w:rPr>
        <w:t xml:space="preserve">The Board of Supervisors may reduce or waive development processing fees for qualifying affordable housing projects in order to facilitate processing. County staff will identify other agencies/districts with fees related to residential construction and will determine if those agencies waive or reduce fees for </w:t>
      </w:r>
      <w:r w:rsidR="00584521" w:rsidRPr="00BA6536">
        <w:rPr>
          <w:rFonts w:eastAsia="Times New Roman" w:cs="Times New Roman"/>
          <w:b/>
        </w:rPr>
        <w:t>extremely low, low and moderate income</w:t>
      </w:r>
      <w:r w:rsidR="00782A83" w:rsidRPr="00BA6536">
        <w:rPr>
          <w:rFonts w:eastAsia="Times New Roman" w:cs="Times New Roman"/>
          <w:b/>
        </w:rPr>
        <w:t xml:space="preserve"> housing units.  Staff will then work with applicable agencies to promote a reduction or waiving of fees for </w:t>
      </w:r>
      <w:r w:rsidR="00584521" w:rsidRPr="00BA6536">
        <w:rPr>
          <w:rFonts w:eastAsia="Times New Roman" w:cs="Times New Roman"/>
          <w:b/>
        </w:rPr>
        <w:t>extremely low, low and moderate income</w:t>
      </w:r>
      <w:r w:rsidR="00782A83" w:rsidRPr="00BA6536">
        <w:rPr>
          <w:rFonts w:eastAsia="Times New Roman" w:cs="Times New Roman"/>
          <w:b/>
        </w:rPr>
        <w:t xml:space="preserve"> housing projects.</w:t>
      </w:r>
    </w:p>
    <w:p w14:paraId="145D727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BOS, CDD</w:t>
      </w:r>
    </w:p>
    <w:p w14:paraId="5FFD38D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Ongoing</w:t>
      </w:r>
    </w:p>
    <w:p w14:paraId="107A626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Application Fees</w:t>
      </w:r>
    </w:p>
    <w:p w14:paraId="421CE7A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 xml:space="preserve">Fee waivers and reductions for qualifying projects will continue to be analyzed.  Development impact fees and certain permitting fees have been permanently eliminated. </w:t>
      </w:r>
    </w:p>
    <w:p w14:paraId="69EF9EEC" w14:textId="77777777" w:rsidR="00782A83" w:rsidRPr="00BA6536" w:rsidRDefault="00782A83" w:rsidP="00782A83">
      <w:pPr>
        <w:spacing w:after="0" w:line="280" w:lineRule="atLeast"/>
        <w:ind w:left="1260" w:hanging="1260"/>
        <w:jc w:val="both"/>
        <w:rPr>
          <w:rFonts w:eastAsia="Times New Roman" w:cs="Times New Roman"/>
          <w:b/>
        </w:rPr>
      </w:pPr>
    </w:p>
    <w:p w14:paraId="28B0B8D9"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2:3</w:t>
      </w:r>
      <w:r w:rsidR="00782A83" w:rsidRPr="00BA6536">
        <w:rPr>
          <w:rFonts w:eastAsia="Times New Roman" w:cs="Times New Roman"/>
          <w:b/>
        </w:rPr>
        <w:tab/>
        <w:t>Continue to allow secondary housing units in single-family residential areas as provided by state law and Chapter 16 of the Mono County Land Development Regulations.</w:t>
      </w:r>
    </w:p>
    <w:p w14:paraId="1EB0330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47A61" w:rsidRPr="00BA6536">
        <w:rPr>
          <w:rFonts w:eastAsia="Times New Roman" w:cs="Times New Roman"/>
        </w:rPr>
        <w:t>CDD</w:t>
      </w:r>
    </w:p>
    <w:p w14:paraId="68A15C7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63319" w:rsidRPr="00BA6536">
        <w:rPr>
          <w:rFonts w:eastAsia="Times New Roman" w:cs="Times New Roman"/>
        </w:rPr>
        <w:t>Ongoing.</w:t>
      </w:r>
    </w:p>
    <w:p w14:paraId="1166314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63319" w:rsidRPr="00BA6536">
        <w:rPr>
          <w:rFonts w:eastAsia="Times New Roman" w:cs="Times New Roman"/>
        </w:rPr>
        <w:t>Application Fees</w:t>
      </w:r>
    </w:p>
    <w:p w14:paraId="187D530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63319" w:rsidRPr="00BA6536">
        <w:rPr>
          <w:rFonts w:eastAsia="Times New Roman" w:cs="Times New Roman"/>
        </w:rPr>
        <w:t>Ongoing as development occurs.</w:t>
      </w:r>
    </w:p>
    <w:p w14:paraId="1AE6EC0B" w14:textId="77777777" w:rsidR="0071753C" w:rsidRPr="00BA6536" w:rsidRDefault="0071753C"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14:paraId="27FA13D3" w14:textId="77777777" w:rsidR="00782A83" w:rsidRPr="00BA6536" w:rsidRDefault="00022FE4" w:rsidP="00782A83">
      <w:pPr>
        <w:spacing w:after="0" w:line="280" w:lineRule="atLeast"/>
        <w:ind w:left="1170" w:hanging="1170"/>
        <w:jc w:val="both"/>
        <w:rPr>
          <w:rFonts w:eastAsia="Times New Roman" w:cs="Times New Roman"/>
          <w:b/>
        </w:rPr>
      </w:pPr>
      <w:r>
        <w:rPr>
          <w:rFonts w:eastAsia="Times New Roman" w:cs="Times New Roman"/>
          <w:b/>
        </w:rPr>
        <w:t>Program 2:4</w:t>
      </w:r>
      <w:r w:rsidR="00782A83" w:rsidRPr="00BA6536">
        <w:rPr>
          <w:rFonts w:eastAsia="Times New Roman" w:cs="Times New Roman"/>
          <w:b/>
        </w:rPr>
        <w:tab/>
        <w:t>The County shall not impose requirements for housing construction that increase housing costs other than those mandated by state law or those determined necessary to protect the health, welfare and safety of the residents of the County.</w:t>
      </w:r>
    </w:p>
    <w:p w14:paraId="3FD7577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04AA9" w:rsidRPr="00BA6536">
        <w:rPr>
          <w:rFonts w:eastAsia="Times New Roman" w:cs="Times New Roman"/>
        </w:rPr>
        <w:t>CDD</w:t>
      </w:r>
    </w:p>
    <w:p w14:paraId="4343A44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Timeframe:</w:t>
      </w:r>
      <w:r w:rsidR="00693A75" w:rsidRPr="00BA6536">
        <w:rPr>
          <w:rFonts w:eastAsia="Times New Roman" w:cs="Times New Roman"/>
        </w:rPr>
        <w:t xml:space="preserve"> Ongoing</w:t>
      </w:r>
      <w:r w:rsidRPr="00BA6536">
        <w:rPr>
          <w:rFonts w:eastAsia="Times New Roman" w:cs="Times New Roman"/>
        </w:rPr>
        <w:t xml:space="preserve"> </w:t>
      </w:r>
    </w:p>
    <w:p w14:paraId="15024A8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693A75" w:rsidRPr="00BA6536">
        <w:rPr>
          <w:rFonts w:eastAsia="Times New Roman" w:cs="Times New Roman"/>
        </w:rPr>
        <w:t xml:space="preserve">Not Applicable. </w:t>
      </w:r>
    </w:p>
    <w:p w14:paraId="13F1035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693A75" w:rsidRPr="00BA6536">
        <w:rPr>
          <w:rFonts w:eastAsia="Times New Roman" w:cs="Times New Roman"/>
        </w:rPr>
        <w:t xml:space="preserve">Continue to implement program. </w:t>
      </w:r>
    </w:p>
    <w:p w14:paraId="201AF216" w14:textId="77777777" w:rsidR="00782A83" w:rsidRPr="00BA6536" w:rsidRDefault="00782A83" w:rsidP="00782A83">
      <w:pPr>
        <w:spacing w:after="0" w:line="280" w:lineRule="atLeast"/>
        <w:ind w:left="1260" w:hanging="1260"/>
        <w:jc w:val="both"/>
        <w:rPr>
          <w:rFonts w:eastAsia="Times New Roman" w:cs="Times New Roman"/>
          <w:b/>
        </w:rPr>
      </w:pPr>
    </w:p>
    <w:p w14:paraId="44C5EDAA"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2:5</w:t>
      </w:r>
      <w:r w:rsidR="00782A83" w:rsidRPr="00BA6536">
        <w:rPr>
          <w:rFonts w:eastAsia="Times New Roman" w:cs="Times New Roman"/>
          <w:b/>
        </w:rPr>
        <w:tab/>
        <w:t xml:space="preserve">Maintain up-to-date information on federal and state housing-related programs and funding opportunities. </w:t>
      </w:r>
    </w:p>
    <w:p w14:paraId="783B6B05"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E04AA9" w:rsidRPr="00BA6536">
        <w:rPr>
          <w:rFonts w:eastAsia="Times New Roman" w:cs="Times New Roman"/>
        </w:rPr>
        <w:t>Housing Authority, MLH</w:t>
      </w:r>
      <w:r w:rsidR="00693A75" w:rsidRPr="00BA6536">
        <w:rPr>
          <w:rFonts w:eastAsia="Times New Roman" w:cs="Times New Roman"/>
        </w:rPr>
        <w:t>, IT</w:t>
      </w:r>
    </w:p>
    <w:p w14:paraId="1A859DF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693A75" w:rsidRPr="00BA6536">
        <w:rPr>
          <w:rFonts w:eastAsia="Times New Roman" w:cs="Times New Roman"/>
        </w:rPr>
        <w:t>Ongoing</w:t>
      </w:r>
    </w:p>
    <w:p w14:paraId="130A166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693A75" w:rsidRPr="00BA6536">
        <w:rPr>
          <w:rFonts w:eastAsia="Times New Roman" w:cs="Times New Roman"/>
        </w:rPr>
        <w:t>Grants</w:t>
      </w:r>
    </w:p>
    <w:p w14:paraId="05092E3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693A75" w:rsidRPr="00BA6536">
        <w:rPr>
          <w:rFonts w:eastAsia="Times New Roman" w:cs="Times New Roman"/>
        </w:rPr>
        <w:t xml:space="preserve">Continue web-site maintenance as resource for housing related programs. </w:t>
      </w:r>
    </w:p>
    <w:p w14:paraId="4C3E45C0" w14:textId="77777777" w:rsidR="00E16F17" w:rsidRPr="00BA6536" w:rsidRDefault="00E16F17" w:rsidP="00782A83">
      <w:pPr>
        <w:spacing w:after="0" w:line="280" w:lineRule="atLeast"/>
        <w:ind w:left="1260" w:hanging="1260"/>
        <w:jc w:val="both"/>
        <w:rPr>
          <w:rFonts w:eastAsia="Times New Roman" w:cs="Times New Roman"/>
          <w:b/>
        </w:rPr>
      </w:pPr>
    </w:p>
    <w:p w14:paraId="0C06ADD2"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2:6</w:t>
      </w:r>
      <w:r w:rsidR="00782A83" w:rsidRPr="00BA6536">
        <w:rPr>
          <w:rFonts w:eastAsia="Times New Roman" w:cs="Times New Roman"/>
          <w:b/>
        </w:rPr>
        <w:tab/>
        <w:t>The Mono County Housing Authority, in cooperation with local social service agencies including IMACA and Mammoth Lakes Housing, Inc., shall participate in and coordinate housing programs designed to ease the burden of housing costs for residents, including seniors and disabled</w:t>
      </w:r>
      <w:r w:rsidR="00584521" w:rsidRPr="00BA6536">
        <w:rPr>
          <w:rFonts w:eastAsia="Times New Roman" w:cs="Times New Roman"/>
          <w:b/>
        </w:rPr>
        <w:t>, including persons with developmental disabilities</w:t>
      </w:r>
      <w:r w:rsidR="00782A83" w:rsidRPr="00BA6536">
        <w:rPr>
          <w:rFonts w:eastAsia="Times New Roman" w:cs="Times New Roman"/>
          <w:b/>
        </w:rPr>
        <w:t>.</w:t>
      </w:r>
    </w:p>
    <w:p w14:paraId="7747074F" w14:textId="77777777" w:rsidR="00E04AA9" w:rsidRPr="00BA6536" w:rsidRDefault="00E04AA9" w:rsidP="00E04AA9">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81078" w:rsidRPr="00BA6536">
        <w:rPr>
          <w:rFonts w:eastAsia="Times New Roman" w:cs="Times New Roman"/>
        </w:rPr>
        <w:t>Housing Authority, MLH, IMACA</w:t>
      </w:r>
    </w:p>
    <w:p w14:paraId="7AF0607A" w14:textId="77777777" w:rsidR="00E04AA9" w:rsidRPr="00BA6536" w:rsidRDefault="00E04AA9" w:rsidP="00E04AA9">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4A0D57" w:rsidRPr="00BA6536">
        <w:rPr>
          <w:rFonts w:eastAsia="Times New Roman" w:cs="Times New Roman"/>
        </w:rPr>
        <w:t>Ongoing</w:t>
      </w:r>
    </w:p>
    <w:p w14:paraId="72B20F0B" w14:textId="77777777" w:rsidR="00E04AA9" w:rsidRPr="00BA6536" w:rsidRDefault="00E04AA9" w:rsidP="00E04AA9">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4A0D57" w:rsidRPr="00BA6536">
        <w:rPr>
          <w:rFonts w:eastAsia="Times New Roman" w:cs="Times New Roman"/>
        </w:rPr>
        <w:t>General Fund</w:t>
      </w:r>
    </w:p>
    <w:p w14:paraId="33F81A66" w14:textId="77777777" w:rsidR="00782A83" w:rsidRPr="00BA6536" w:rsidRDefault="00E04AA9" w:rsidP="00E04AA9">
      <w:pPr>
        <w:spacing w:after="0" w:line="280" w:lineRule="atLeast"/>
        <w:ind w:left="1260" w:hanging="1260"/>
        <w:jc w:val="both"/>
        <w:rPr>
          <w:rFonts w:eastAsia="Times New Roman" w:cs="Times New Roman"/>
        </w:rPr>
      </w:pPr>
      <w:r w:rsidRPr="00BA6536">
        <w:rPr>
          <w:rFonts w:eastAsia="Times New Roman" w:cs="Times New Roman"/>
        </w:rPr>
        <w:t>Actions:</w:t>
      </w:r>
      <w:r w:rsidR="004A0D57" w:rsidRPr="00BA6536">
        <w:rPr>
          <w:rFonts w:eastAsia="Times New Roman" w:cs="Times New Roman"/>
        </w:rPr>
        <w:t xml:space="preserve"> Continue to implement</w:t>
      </w:r>
    </w:p>
    <w:p w14:paraId="50198934" w14:textId="77777777" w:rsidR="00E04AA9" w:rsidRPr="00BA6536" w:rsidRDefault="00E04AA9" w:rsidP="00E04AA9">
      <w:pPr>
        <w:spacing w:after="0" w:line="280" w:lineRule="atLeast"/>
        <w:ind w:left="1260" w:hanging="1260"/>
        <w:jc w:val="both"/>
        <w:rPr>
          <w:rFonts w:eastAsia="Times New Roman" w:cs="Times New Roman"/>
          <w:b/>
        </w:rPr>
      </w:pPr>
    </w:p>
    <w:p w14:paraId="7EB17B09"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2:7</w:t>
      </w:r>
      <w:r w:rsidR="00782A83" w:rsidRPr="00BA6536">
        <w:rPr>
          <w:rFonts w:eastAsia="Times New Roman" w:cs="Times New Roman"/>
          <w:b/>
        </w:rPr>
        <w:tab/>
        <w:t>During the permit review process, encourage housing designs and site plans that capitalize on solar heating and cooling advantages to reduce utility costs.</w:t>
      </w:r>
    </w:p>
    <w:p w14:paraId="79C9FEB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81078" w:rsidRPr="00BA6536">
        <w:rPr>
          <w:rFonts w:eastAsia="Times New Roman" w:cs="Times New Roman"/>
        </w:rPr>
        <w:t>CDD</w:t>
      </w:r>
    </w:p>
    <w:p w14:paraId="553E2C8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8C5B31" w:rsidRPr="00BA6536">
        <w:rPr>
          <w:rFonts w:eastAsia="Times New Roman" w:cs="Times New Roman"/>
        </w:rPr>
        <w:t>Ongoing</w:t>
      </w:r>
    </w:p>
    <w:p w14:paraId="4D3EA30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8C5B31" w:rsidRPr="00BA6536">
        <w:rPr>
          <w:rFonts w:eastAsia="Times New Roman" w:cs="Times New Roman"/>
        </w:rPr>
        <w:t>Application Fees</w:t>
      </w:r>
    </w:p>
    <w:p w14:paraId="77017D5D" w14:textId="77777777" w:rsidR="00E16F17" w:rsidRPr="00BA6536" w:rsidRDefault="004A0D57" w:rsidP="00E16F17">
      <w:pPr>
        <w:spacing w:after="0" w:line="280" w:lineRule="atLeast"/>
        <w:ind w:left="1260" w:hanging="1260"/>
        <w:jc w:val="both"/>
        <w:rPr>
          <w:rFonts w:eastAsia="Times New Roman" w:cs="Times New Roman"/>
        </w:rPr>
      </w:pPr>
      <w:r w:rsidRPr="00BA6536">
        <w:rPr>
          <w:rFonts w:eastAsia="Times New Roman" w:cs="Times New Roman"/>
        </w:rPr>
        <w:t>Actions: Encourage planning staff</w:t>
      </w:r>
      <w:r w:rsidR="008C5B31" w:rsidRPr="00BA6536">
        <w:rPr>
          <w:rFonts w:eastAsia="Times New Roman" w:cs="Times New Roman"/>
        </w:rPr>
        <w:t xml:space="preserve"> to engage applicants early in the plan review process. </w:t>
      </w:r>
    </w:p>
    <w:p w14:paraId="0F33449C" w14:textId="77777777" w:rsidR="00782A83" w:rsidRPr="00BA6536" w:rsidRDefault="00782A83" w:rsidP="00782A83">
      <w:pPr>
        <w:spacing w:after="0" w:line="280" w:lineRule="atLeast"/>
        <w:ind w:left="1260" w:hanging="1260"/>
        <w:jc w:val="both"/>
        <w:rPr>
          <w:rFonts w:eastAsia="Times New Roman" w:cs="Times New Roman"/>
          <w:b/>
        </w:rPr>
      </w:pPr>
    </w:p>
    <w:p w14:paraId="3CDBD6D6"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2:8</w:t>
      </w:r>
      <w:r w:rsidR="00782A83" w:rsidRPr="00BA6536">
        <w:rPr>
          <w:rFonts w:eastAsia="Times New Roman" w:cs="Times New Roman"/>
          <w:b/>
        </w:rPr>
        <w:tab/>
        <w:t>Consider allowing an increase in density for those projects built for rental purposes in exchange for an agreement to retain rental units at an affordable price in perpetuity.</w:t>
      </w:r>
    </w:p>
    <w:p w14:paraId="58CD922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81078" w:rsidRPr="00BA6536">
        <w:rPr>
          <w:rFonts w:eastAsia="Times New Roman" w:cs="Times New Roman"/>
        </w:rPr>
        <w:t>CDD</w:t>
      </w:r>
    </w:p>
    <w:p w14:paraId="616BD34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C442B" w:rsidRPr="00BA6536">
        <w:rPr>
          <w:rFonts w:eastAsia="Times New Roman" w:cs="Times New Roman"/>
        </w:rPr>
        <w:t>Ongoing</w:t>
      </w:r>
    </w:p>
    <w:p w14:paraId="00953C1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C442B" w:rsidRPr="00BA6536">
        <w:rPr>
          <w:rFonts w:eastAsia="Times New Roman" w:cs="Times New Roman"/>
        </w:rPr>
        <w:t>Application Fees, General Fund</w:t>
      </w:r>
    </w:p>
    <w:p w14:paraId="782EE40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C442B" w:rsidRPr="00BA6536">
        <w:rPr>
          <w:rFonts w:eastAsia="Times New Roman" w:cs="Times New Roman"/>
        </w:rPr>
        <w:t>Consult with RPACs and incorporate policies in Area Plans where well received.</w:t>
      </w:r>
    </w:p>
    <w:p w14:paraId="39EF61D9" w14:textId="77777777" w:rsidR="00782A83" w:rsidRPr="00BA6536" w:rsidRDefault="00782A83" w:rsidP="00782A83">
      <w:pPr>
        <w:spacing w:after="0" w:line="280" w:lineRule="atLeast"/>
        <w:ind w:left="1260" w:hanging="1260"/>
        <w:jc w:val="both"/>
        <w:rPr>
          <w:rFonts w:eastAsia="Times New Roman" w:cs="Times New Roman"/>
          <w:b/>
        </w:rPr>
      </w:pPr>
    </w:p>
    <w:p w14:paraId="2F899DC5"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2:9</w:t>
      </w:r>
      <w:r w:rsidR="00782A83" w:rsidRPr="00BA6536">
        <w:rPr>
          <w:rFonts w:eastAsia="Times New Roman" w:cs="Times New Roman"/>
          <w:b/>
        </w:rPr>
        <w:tab/>
        <w:t xml:space="preserve">Development projects and building permits shall comply with the Mono County Housing Requirements (Mono County Code 15.40), which requires development projects to include </w:t>
      </w:r>
      <w:r w:rsidR="007C3287" w:rsidRPr="00BA6536">
        <w:rPr>
          <w:rFonts w:eastAsia="Times New Roman" w:cs="Times New Roman"/>
          <w:b/>
        </w:rPr>
        <w:t>extremely low, low and moderate income</w:t>
      </w:r>
      <w:r w:rsidR="00782A83" w:rsidRPr="00BA6536">
        <w:rPr>
          <w:rFonts w:eastAsia="Times New Roman" w:cs="Times New Roman"/>
          <w:b/>
        </w:rPr>
        <w:t xml:space="preserve"> housing. The continued affordability of these units shall be assured through enforceable documents/deed restrictions that flow with the sale or ownership transference of the property. Smaller projects shall contribute their fair share via in-lieu housing mitigation fees or other comparable mechanisms.  The majority of housing units required by this program must be appropriate for families; i.e., not dormitory-style units, and must be reserved for families/households employed in the local economy.</w:t>
      </w:r>
    </w:p>
    <w:p w14:paraId="4D76638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Responsible Agencies:</w:t>
      </w:r>
      <w:r w:rsidR="00CC442B" w:rsidRPr="00BA6536">
        <w:rPr>
          <w:rFonts w:eastAsia="Times New Roman" w:cs="Times New Roman"/>
        </w:rPr>
        <w:t xml:space="preserve"> </w:t>
      </w:r>
      <w:r w:rsidR="00281078" w:rsidRPr="00BA6536">
        <w:rPr>
          <w:rFonts w:eastAsia="Times New Roman" w:cs="Times New Roman"/>
        </w:rPr>
        <w:t>CDD</w:t>
      </w:r>
      <w:r w:rsidRPr="00BA6536">
        <w:rPr>
          <w:rFonts w:eastAsia="Times New Roman" w:cs="Times New Roman"/>
        </w:rPr>
        <w:t xml:space="preserve"> </w:t>
      </w:r>
    </w:p>
    <w:p w14:paraId="51D557DC"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C442B" w:rsidRPr="00BA6536">
        <w:rPr>
          <w:rFonts w:eastAsia="Times New Roman" w:cs="Times New Roman"/>
        </w:rPr>
        <w:t>Ongoing, Suspended until 2015</w:t>
      </w:r>
    </w:p>
    <w:p w14:paraId="00986BA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C442B" w:rsidRPr="00BA6536">
        <w:rPr>
          <w:rFonts w:eastAsia="Times New Roman" w:cs="Times New Roman"/>
        </w:rPr>
        <w:t>General Fund</w:t>
      </w:r>
    </w:p>
    <w:p w14:paraId="72662873"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C442B" w:rsidRPr="00BA6536">
        <w:rPr>
          <w:rFonts w:eastAsia="Times New Roman" w:cs="Times New Roman"/>
        </w:rPr>
        <w:t xml:space="preserve">Work with BOS to modify Mitigation Requirements so that a program is reinstated in 2015.  </w:t>
      </w:r>
    </w:p>
    <w:p w14:paraId="542AB49F" w14:textId="77777777" w:rsidR="00782A83" w:rsidRPr="00BA6536" w:rsidRDefault="00782A83" w:rsidP="00782A83">
      <w:pPr>
        <w:spacing w:after="0" w:line="280" w:lineRule="atLeast"/>
        <w:ind w:left="1170" w:hanging="1170"/>
        <w:jc w:val="both"/>
        <w:rPr>
          <w:rFonts w:eastAsia="Times New Roman" w:cs="Times New Roman"/>
          <w:b/>
        </w:rPr>
      </w:pPr>
    </w:p>
    <w:p w14:paraId="05600BE9"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 xml:space="preserve">Program 2:10 </w:t>
      </w:r>
      <w:r w:rsidR="00782A83" w:rsidRPr="00BA6536">
        <w:rPr>
          <w:rFonts w:eastAsia="Times New Roman" w:cs="Times New Roman"/>
          <w:b/>
        </w:rPr>
        <w:tab/>
        <w:t>Implement housing impact fees and other applicable mitigation strategies based on recommendations from fee impact studies that document the fair share impact of new development on the limited housing supply. Coordinate regional housing mitigation and fee impact programs with those of the Town of Mammoth Lakes.</w:t>
      </w:r>
    </w:p>
    <w:p w14:paraId="50B59C7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81078" w:rsidRPr="00BA6536">
        <w:rPr>
          <w:rFonts w:eastAsia="Times New Roman" w:cs="Times New Roman"/>
        </w:rPr>
        <w:t>CDD, Housing Authority</w:t>
      </w:r>
    </w:p>
    <w:p w14:paraId="623FA11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C442B" w:rsidRPr="00BA6536">
        <w:rPr>
          <w:rFonts w:eastAsia="Times New Roman" w:cs="Times New Roman"/>
        </w:rPr>
        <w:t>2015</w:t>
      </w:r>
    </w:p>
    <w:p w14:paraId="3E141433"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C442B" w:rsidRPr="00BA6536">
        <w:rPr>
          <w:rFonts w:eastAsia="Times New Roman" w:cs="Times New Roman"/>
        </w:rPr>
        <w:t>General Fund</w:t>
      </w:r>
    </w:p>
    <w:p w14:paraId="2357B36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C442B" w:rsidRPr="00BA6536">
        <w:rPr>
          <w:rFonts w:eastAsia="Times New Roman" w:cs="Times New Roman"/>
        </w:rPr>
        <w:t>Present fair share fee study to Housing Authority.</w:t>
      </w:r>
    </w:p>
    <w:p w14:paraId="76897BAF" w14:textId="77777777" w:rsidR="00E16F17" w:rsidRPr="00BA6536" w:rsidRDefault="00E16F17" w:rsidP="00782A83">
      <w:pPr>
        <w:spacing w:after="0" w:line="280" w:lineRule="atLeast"/>
        <w:ind w:left="1260" w:hanging="1260"/>
        <w:jc w:val="both"/>
        <w:rPr>
          <w:rFonts w:eastAsia="Times New Roman" w:cs="Times New Roman"/>
          <w:b/>
          <w:highlight w:val="yellow"/>
        </w:rPr>
      </w:pPr>
    </w:p>
    <w:p w14:paraId="135AD48D" w14:textId="77777777" w:rsidR="00281078" w:rsidRPr="00BA6536" w:rsidRDefault="00022FE4" w:rsidP="00281078">
      <w:pPr>
        <w:spacing w:after="0" w:line="280" w:lineRule="atLeast"/>
        <w:ind w:left="1260" w:hanging="1260"/>
        <w:jc w:val="both"/>
        <w:rPr>
          <w:rFonts w:eastAsia="Times New Roman" w:cs="Times New Roman"/>
          <w:b/>
        </w:rPr>
      </w:pPr>
      <w:r>
        <w:rPr>
          <w:rFonts w:eastAsia="Times New Roman" w:cs="Times New Roman"/>
          <w:b/>
        </w:rPr>
        <w:t>Program 2:11</w:t>
      </w:r>
      <w:r w:rsidR="00281078" w:rsidRPr="00BA6536">
        <w:rPr>
          <w:rFonts w:eastAsia="Times New Roman" w:cs="Times New Roman"/>
          <w:b/>
        </w:rPr>
        <w:tab/>
        <w:t>Implement housing impact fees and other applicable mitigation strategies based on recommendations from fee impact studies that document the fair share impact of new development on the limited housing supply. Coordinate regional housing mitigation and fee impact programs with those of the Town of Mammoth Lakes.</w:t>
      </w:r>
    </w:p>
    <w:p w14:paraId="1E98CEF6" w14:textId="77777777"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67C41" w:rsidRPr="00BA6536">
        <w:rPr>
          <w:rFonts w:eastAsia="Times New Roman" w:cs="Times New Roman"/>
        </w:rPr>
        <w:t>CDD</w:t>
      </w:r>
    </w:p>
    <w:p w14:paraId="67486D82" w14:textId="77777777"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C442B" w:rsidRPr="00BA6536">
        <w:rPr>
          <w:rFonts w:eastAsia="Times New Roman" w:cs="Times New Roman"/>
        </w:rPr>
        <w:t>2015, ongoing</w:t>
      </w:r>
    </w:p>
    <w:p w14:paraId="609E12A1" w14:textId="77777777"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C442B" w:rsidRPr="00BA6536">
        <w:rPr>
          <w:rFonts w:eastAsia="Times New Roman" w:cs="Times New Roman"/>
        </w:rPr>
        <w:t>General Fund</w:t>
      </w:r>
    </w:p>
    <w:p w14:paraId="2B3D94BD" w14:textId="77777777" w:rsidR="00CC442B" w:rsidRPr="00BA6536" w:rsidRDefault="00281078" w:rsidP="00CC442B">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CC442B" w:rsidRPr="00BA6536">
        <w:rPr>
          <w:rFonts w:eastAsia="Times New Roman" w:cs="Times New Roman"/>
        </w:rPr>
        <w:t xml:space="preserve">Work with BOS to modify Mitigation Requirements so that a program is reinstated in 2015.  </w:t>
      </w:r>
    </w:p>
    <w:p w14:paraId="747FDFDD" w14:textId="77777777" w:rsidR="00281078" w:rsidRPr="00BA6536" w:rsidRDefault="00281078" w:rsidP="00281078">
      <w:pPr>
        <w:spacing w:after="0" w:line="280" w:lineRule="atLeast"/>
        <w:ind w:left="1260" w:hanging="1260"/>
        <w:jc w:val="both"/>
        <w:rPr>
          <w:rFonts w:eastAsia="Times New Roman" w:cs="Times New Roman"/>
        </w:rPr>
      </w:pPr>
    </w:p>
    <w:p w14:paraId="68BC0CE1" w14:textId="77777777" w:rsidR="00281078" w:rsidRPr="00BA6536" w:rsidRDefault="00022FE4" w:rsidP="00281078">
      <w:pPr>
        <w:spacing w:after="0" w:line="280" w:lineRule="atLeast"/>
        <w:ind w:left="1260" w:hanging="1260"/>
        <w:jc w:val="both"/>
        <w:rPr>
          <w:rFonts w:eastAsia="Times New Roman" w:cs="Times New Roman"/>
          <w:b/>
        </w:rPr>
      </w:pPr>
      <w:r>
        <w:rPr>
          <w:rFonts w:eastAsia="Times New Roman" w:cs="Times New Roman"/>
          <w:b/>
        </w:rPr>
        <w:t xml:space="preserve">Program 2:12 </w:t>
      </w:r>
      <w:r w:rsidR="00281078" w:rsidRPr="00BA6536">
        <w:rPr>
          <w:rFonts w:eastAsia="Times New Roman" w:cs="Times New Roman"/>
          <w:b/>
        </w:rPr>
        <w:tab/>
        <w:t xml:space="preserve">Through collaboration with a regional housing authority or similar entity, develop a range of </w:t>
      </w:r>
      <w:r w:rsidR="007C3287" w:rsidRPr="00BA6536">
        <w:rPr>
          <w:rFonts w:eastAsia="Times New Roman" w:cs="Times New Roman"/>
          <w:b/>
        </w:rPr>
        <w:t>extremely low, low and moderate income</w:t>
      </w:r>
      <w:r w:rsidR="00281078" w:rsidRPr="00BA6536">
        <w:rPr>
          <w:rFonts w:eastAsia="Times New Roman" w:cs="Times New Roman"/>
          <w:b/>
        </w:rPr>
        <w:t xml:space="preserve"> housing programs that address rental units, home ownership and alternative approaches to affordable housing, such as:</w:t>
      </w:r>
    </w:p>
    <w:p w14:paraId="11470DA6" w14:textId="77777777"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 threshold fund that provides zero interest security deposit loans for tenants;</w:t>
      </w:r>
    </w:p>
    <w:p w14:paraId="6DE36115" w14:textId="77777777"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apartments for fixed-income seniors;</w:t>
      </w:r>
    </w:p>
    <w:p w14:paraId="47106348" w14:textId="77777777"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a community land trust used to acquire land for housing;</w:t>
      </w:r>
    </w:p>
    <w:p w14:paraId="5ABD9659" w14:textId="77777777"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sweat-equity programs that enable first-time buyers to contribute their time/labor toward the purchase of a home;</w:t>
      </w:r>
    </w:p>
    <w:p w14:paraId="363DC254" w14:textId="77777777"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co-housing for income qualified buyers;</w:t>
      </w:r>
    </w:p>
    <w:p w14:paraId="7A54DCDD" w14:textId="77777777"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deed restrictions; and</w:t>
      </w:r>
    </w:p>
    <w:p w14:paraId="24AA0E03" w14:textId="77777777" w:rsidR="00281078" w:rsidRPr="00BA6536" w:rsidRDefault="00281078" w:rsidP="00281078">
      <w:pPr>
        <w:numPr>
          <w:ilvl w:val="0"/>
          <w:numId w:val="4"/>
        </w:numPr>
        <w:tabs>
          <w:tab w:val="num" w:pos="1620"/>
        </w:tabs>
        <w:spacing w:after="0" w:line="280" w:lineRule="atLeast"/>
        <w:ind w:left="1620"/>
        <w:jc w:val="both"/>
        <w:rPr>
          <w:rFonts w:eastAsia="Times New Roman" w:cs="Times New Roman"/>
          <w:b/>
        </w:rPr>
      </w:pPr>
      <w:r w:rsidRPr="00BA6536">
        <w:rPr>
          <w:rFonts w:eastAsia="Times New Roman" w:cs="Times New Roman"/>
          <w:b/>
        </w:rPr>
        <w:t>energy efficient designs and prescriptive designs.</w:t>
      </w:r>
    </w:p>
    <w:p w14:paraId="2AE84928" w14:textId="77777777" w:rsidR="00281078" w:rsidRPr="00BA6536" w:rsidRDefault="00281078" w:rsidP="00281078">
      <w:pPr>
        <w:spacing w:after="0" w:line="280" w:lineRule="atLeast"/>
        <w:jc w:val="both"/>
        <w:rPr>
          <w:rFonts w:eastAsia="Times New Roman" w:cs="Times New Roman"/>
        </w:rPr>
      </w:pPr>
      <w:r w:rsidRPr="00BA6536">
        <w:rPr>
          <w:rFonts w:eastAsia="Times New Roman" w:cs="Times New Roman"/>
        </w:rPr>
        <w:t xml:space="preserve">Responsible Agencies: </w:t>
      </w:r>
    </w:p>
    <w:p w14:paraId="2C4B429F" w14:textId="77777777" w:rsidR="00281078" w:rsidRPr="00BA6536" w:rsidRDefault="00281078" w:rsidP="00281078">
      <w:pPr>
        <w:spacing w:after="0" w:line="280" w:lineRule="atLeast"/>
        <w:jc w:val="both"/>
        <w:rPr>
          <w:rFonts w:eastAsia="Times New Roman" w:cs="Times New Roman"/>
        </w:rPr>
      </w:pPr>
      <w:r w:rsidRPr="00BA6536">
        <w:rPr>
          <w:rFonts w:eastAsia="Times New Roman" w:cs="Times New Roman"/>
        </w:rPr>
        <w:t xml:space="preserve">Timeframe: </w:t>
      </w:r>
      <w:r w:rsidR="00CC442B" w:rsidRPr="00BA6536">
        <w:rPr>
          <w:rFonts w:eastAsia="Times New Roman" w:cs="Times New Roman"/>
        </w:rPr>
        <w:t>Ongoing</w:t>
      </w:r>
    </w:p>
    <w:p w14:paraId="5E47A55A" w14:textId="77777777" w:rsidR="00281078" w:rsidRPr="00BA6536" w:rsidRDefault="00281078" w:rsidP="00281078">
      <w:pPr>
        <w:spacing w:after="0" w:line="280" w:lineRule="atLeast"/>
        <w:jc w:val="both"/>
        <w:rPr>
          <w:rFonts w:eastAsia="Times New Roman" w:cs="Times New Roman"/>
        </w:rPr>
      </w:pPr>
      <w:r w:rsidRPr="00BA6536">
        <w:rPr>
          <w:rFonts w:eastAsia="Times New Roman" w:cs="Times New Roman"/>
        </w:rPr>
        <w:t xml:space="preserve">Funding: </w:t>
      </w:r>
      <w:r w:rsidR="00CC442B" w:rsidRPr="00BA6536">
        <w:rPr>
          <w:rFonts w:eastAsia="Times New Roman" w:cs="Times New Roman"/>
        </w:rPr>
        <w:t>Grants, General Fund</w:t>
      </w:r>
    </w:p>
    <w:p w14:paraId="7D9F547E" w14:textId="77777777" w:rsidR="00281078" w:rsidRPr="00BA6536" w:rsidRDefault="00281078" w:rsidP="00281078">
      <w:pPr>
        <w:spacing w:after="0" w:line="280" w:lineRule="atLeast"/>
        <w:jc w:val="both"/>
        <w:rPr>
          <w:rFonts w:eastAsia="Times New Roman" w:cs="Times New Roman"/>
        </w:rPr>
      </w:pPr>
      <w:r w:rsidRPr="00BA6536">
        <w:rPr>
          <w:rFonts w:eastAsia="Times New Roman" w:cs="Times New Roman"/>
        </w:rPr>
        <w:t xml:space="preserve">Actions: </w:t>
      </w:r>
      <w:r w:rsidR="00CC442B" w:rsidRPr="00BA6536">
        <w:rPr>
          <w:rFonts w:eastAsia="Times New Roman" w:cs="Times New Roman"/>
        </w:rPr>
        <w:t xml:space="preserve">Continue developing at least one strategy each year and report to Housing Authority. </w:t>
      </w:r>
    </w:p>
    <w:p w14:paraId="64796E11" w14:textId="77777777" w:rsidR="00281078" w:rsidRPr="00BA6536" w:rsidRDefault="00281078" w:rsidP="00281078">
      <w:pPr>
        <w:pStyle w:val="ListParagraph"/>
        <w:spacing w:after="0" w:line="280" w:lineRule="atLeast"/>
        <w:ind w:left="0"/>
        <w:jc w:val="both"/>
        <w:rPr>
          <w:rFonts w:eastAsia="Times New Roman" w:cs="Times New Roman"/>
          <w:b/>
        </w:rPr>
      </w:pPr>
    </w:p>
    <w:p w14:paraId="21806B9A" w14:textId="77777777" w:rsidR="00281078" w:rsidRPr="00BA6536" w:rsidRDefault="00022FE4" w:rsidP="00281078">
      <w:pPr>
        <w:pStyle w:val="ListParagraph"/>
        <w:spacing w:after="0" w:line="280" w:lineRule="atLeast"/>
        <w:ind w:left="0"/>
        <w:jc w:val="both"/>
        <w:rPr>
          <w:rFonts w:eastAsia="Times New Roman" w:cs="Times New Roman"/>
          <w:b/>
        </w:rPr>
      </w:pPr>
      <w:r>
        <w:rPr>
          <w:rFonts w:eastAsia="Times New Roman" w:cs="Times New Roman"/>
          <w:b/>
        </w:rPr>
        <w:t>Program 2:13</w:t>
      </w:r>
      <w:r w:rsidR="00281078" w:rsidRPr="00BA6536">
        <w:rPr>
          <w:rFonts w:eastAsia="Times New Roman" w:cs="Times New Roman"/>
          <w:b/>
        </w:rPr>
        <w:tab/>
        <w:t xml:space="preserve">The County will meet with developers and encourage the development of housing for </w:t>
      </w:r>
      <w:r w:rsidR="007C3287" w:rsidRPr="00BA6536">
        <w:rPr>
          <w:rFonts w:eastAsia="Times New Roman" w:cs="Times New Roman"/>
          <w:b/>
        </w:rPr>
        <w:t xml:space="preserve">extremely low, low and moderate </w:t>
      </w:r>
      <w:r w:rsidR="00281078" w:rsidRPr="00BA6536">
        <w:rPr>
          <w:rFonts w:eastAsia="Times New Roman" w:cs="Times New Roman"/>
          <w:b/>
        </w:rPr>
        <w:t>income households. The County will maintain an inventory of suitable sites, conduct preapplication meetings to facilitate development, provide technical assistance, support appropriate funding applications and offer regulatory incentives and concessions to contribute to the feasibility of development of housing for</w:t>
      </w:r>
      <w:r w:rsidR="007C3287" w:rsidRPr="00BA6536">
        <w:rPr>
          <w:rFonts w:eastAsia="Times New Roman" w:cs="Times New Roman"/>
          <w:b/>
        </w:rPr>
        <w:t xml:space="preserve"> extremely low, low and moderate </w:t>
      </w:r>
      <w:r w:rsidR="00281078" w:rsidRPr="00BA6536">
        <w:rPr>
          <w:rFonts w:eastAsia="Times New Roman" w:cs="Times New Roman"/>
          <w:b/>
        </w:rPr>
        <w:t>income households.  The inventory of suitable sites will utilize a variety of factors to determine site suitability, including current and projected population figures, economic conditions, transportation systems, the potential for rehabilitation, and the availability of utilities and infrastructure.</w:t>
      </w:r>
    </w:p>
    <w:p w14:paraId="56ACBC39" w14:textId="77777777"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14:paraId="3BBDC946" w14:textId="77777777"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514270" w:rsidRPr="00BA6536">
        <w:rPr>
          <w:rFonts w:eastAsia="Times New Roman" w:cs="Times New Roman"/>
        </w:rPr>
        <w:t>Ongoing</w:t>
      </w:r>
    </w:p>
    <w:p w14:paraId="7ADF51DA" w14:textId="77777777"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514270" w:rsidRPr="00BA6536">
        <w:rPr>
          <w:rFonts w:eastAsia="Times New Roman" w:cs="Times New Roman"/>
        </w:rPr>
        <w:t>General Fund</w:t>
      </w:r>
    </w:p>
    <w:p w14:paraId="645406B6" w14:textId="77777777" w:rsidR="00281078" w:rsidRPr="00BA6536" w:rsidRDefault="00281078" w:rsidP="00281078">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514270" w:rsidRPr="00BA6536">
        <w:rPr>
          <w:rFonts w:eastAsia="Times New Roman" w:cs="Times New Roman"/>
        </w:rPr>
        <w:t>Implement as development occurs.</w:t>
      </w:r>
    </w:p>
    <w:p w14:paraId="06927154" w14:textId="77777777" w:rsidR="00281078" w:rsidRPr="00BA6536" w:rsidRDefault="00281078" w:rsidP="00281078">
      <w:pPr>
        <w:spacing w:after="0" w:line="280" w:lineRule="atLeast"/>
        <w:ind w:left="1260" w:hanging="1260"/>
        <w:jc w:val="both"/>
        <w:rPr>
          <w:rFonts w:eastAsia="Times New Roman" w:cs="Times New Roman"/>
          <w:b/>
        </w:rPr>
      </w:pPr>
    </w:p>
    <w:p w14:paraId="3B1244A2"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 xml:space="preserve">Program 2:14 </w:t>
      </w:r>
      <w:r w:rsidR="00782A83" w:rsidRPr="00BA6536">
        <w:rPr>
          <w:rFonts w:eastAsia="Times New Roman" w:cs="Times New Roman"/>
          <w:b/>
        </w:rPr>
        <w:tab/>
        <w:t>Review and revise the Housing Mitigation Requirements (Mono County Code, Chapter 15.40) to ensure that they remain effective and equitable in today’s housing market.</w:t>
      </w:r>
    </w:p>
    <w:p w14:paraId="46DFDFA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267C41" w:rsidRPr="00BA6536">
        <w:rPr>
          <w:rFonts w:eastAsia="Times New Roman" w:cs="Times New Roman"/>
        </w:rPr>
        <w:t>CDD, Housing Authority</w:t>
      </w:r>
    </w:p>
    <w:p w14:paraId="1593091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514270" w:rsidRPr="00BA6536">
        <w:rPr>
          <w:rFonts w:eastAsia="Times New Roman" w:cs="Times New Roman"/>
        </w:rPr>
        <w:t>2015, Ongoing</w:t>
      </w:r>
    </w:p>
    <w:p w14:paraId="44D09CE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514270" w:rsidRPr="00BA6536">
        <w:rPr>
          <w:rFonts w:eastAsia="Times New Roman" w:cs="Times New Roman"/>
        </w:rPr>
        <w:t>General Fund</w:t>
      </w:r>
    </w:p>
    <w:p w14:paraId="121F68A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514270" w:rsidRPr="00BA6536">
        <w:rPr>
          <w:rFonts w:eastAsia="Times New Roman" w:cs="Times New Roman"/>
        </w:rPr>
        <w:t xml:space="preserve">Work with </w:t>
      </w:r>
      <w:r w:rsidR="000A2454" w:rsidRPr="00BA6536">
        <w:rPr>
          <w:rFonts w:eastAsia="Times New Roman" w:cs="Times New Roman"/>
        </w:rPr>
        <w:t>Housing Authority</w:t>
      </w:r>
      <w:r w:rsidR="00514270" w:rsidRPr="00BA6536">
        <w:rPr>
          <w:rFonts w:eastAsia="Times New Roman" w:cs="Times New Roman"/>
        </w:rPr>
        <w:t xml:space="preserve"> to modify Mitigation Requirements so that a program is reinstated in 2015.  </w:t>
      </w:r>
    </w:p>
    <w:p w14:paraId="59FEFE13" w14:textId="77777777" w:rsidR="0071753C" w:rsidRPr="00BA6536" w:rsidRDefault="0071753C"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14:paraId="26660136" w14:textId="77777777" w:rsidR="0071753C" w:rsidRPr="00BA6536" w:rsidRDefault="002E1FEA" w:rsidP="003D5E81">
      <w:pPr>
        <w:pStyle w:val="Heading3"/>
      </w:pPr>
      <w:bookmarkStart w:id="413" w:name="_Toc383700180"/>
      <w:r>
        <w:t xml:space="preserve">c. </w:t>
      </w:r>
      <w:r w:rsidR="0071753C" w:rsidRPr="00BA6536">
        <w:t>PROGRAMS TO ADDRESS GOVERNMENTAL CONSTRAINTS</w:t>
      </w:r>
      <w:bookmarkEnd w:id="413"/>
    </w:p>
    <w:p w14:paraId="32493415"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p>
    <w:p w14:paraId="3D5FDDB3"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Goal</w:t>
      </w:r>
      <w:r w:rsidRPr="00BA6536">
        <w:rPr>
          <w:rFonts w:asciiTheme="minorHAnsi" w:hAnsiTheme="minorHAnsi"/>
          <w:sz w:val="22"/>
          <w:szCs w:val="22"/>
        </w:rPr>
        <w:tab/>
        <w:t>Increase housing opportunities throughout the County, particularly in community areas by limiting governmental constraints on housing development.</w:t>
      </w:r>
    </w:p>
    <w:p w14:paraId="21C8EE3A" w14:textId="77777777" w:rsidR="0071753C" w:rsidRPr="00BA6536" w:rsidRDefault="0071753C" w:rsidP="0071753C">
      <w:pPr>
        <w:spacing w:after="0" w:line="280" w:lineRule="atLeast"/>
        <w:ind w:left="1080" w:hanging="1080"/>
        <w:jc w:val="both"/>
      </w:pPr>
    </w:p>
    <w:p w14:paraId="3467E483" w14:textId="77777777" w:rsidR="0071753C" w:rsidRPr="00BA6536" w:rsidRDefault="0071753C" w:rsidP="0071753C">
      <w:pPr>
        <w:spacing w:line="280" w:lineRule="atLeast"/>
        <w:ind w:left="1080" w:hanging="1080"/>
        <w:jc w:val="both"/>
      </w:pPr>
      <w:r w:rsidRPr="00BA6536">
        <w:t>Policy 1</w:t>
      </w:r>
      <w:r w:rsidRPr="00BA6536">
        <w:tab/>
        <w:t>Revise the Land Development Regulations of the General Plan to allow for greater flexibility in housing development in communities by substituting performance standards/criteria for rigid development standards where practical.</w:t>
      </w:r>
    </w:p>
    <w:p w14:paraId="10B64D56" w14:textId="77777777" w:rsidR="0071753C" w:rsidRPr="00BA6536" w:rsidRDefault="0071753C" w:rsidP="0071753C">
      <w:pPr>
        <w:spacing w:line="280" w:lineRule="atLeast"/>
        <w:ind w:left="1080" w:hanging="1080"/>
        <w:jc w:val="both"/>
      </w:pPr>
      <w:r w:rsidRPr="00BA6536">
        <w:t>Policy 2</w:t>
      </w:r>
      <w:r w:rsidRPr="00BA6536">
        <w:tab/>
        <w:t>Revise the County's Subdivision Ordinance to provide greater flexibility in the division of land for a variety of housing types and to ensure consistency with the General Plan.</w:t>
      </w:r>
    </w:p>
    <w:p w14:paraId="3CC18441" w14:textId="77777777" w:rsidR="00782A83" w:rsidRPr="00BA6536" w:rsidRDefault="00022FE4" w:rsidP="00782A83">
      <w:pPr>
        <w:spacing w:before="60" w:after="0" w:line="280" w:lineRule="atLeast"/>
        <w:ind w:left="1260" w:hanging="1260"/>
        <w:jc w:val="both"/>
        <w:rPr>
          <w:rFonts w:eastAsia="Times New Roman" w:cs="Times New Roman"/>
          <w:b/>
        </w:rPr>
      </w:pPr>
      <w:r>
        <w:rPr>
          <w:rFonts w:eastAsia="Times New Roman" w:cs="Times New Roman"/>
          <w:b/>
        </w:rPr>
        <w:t>Program 3:1</w:t>
      </w:r>
      <w:r w:rsidR="00782A83" w:rsidRPr="00BA6536">
        <w:rPr>
          <w:rFonts w:eastAsia="Times New Roman" w:cs="Times New Roman"/>
          <w:b/>
        </w:rPr>
        <w:tab/>
        <w:t>Review and consider revising development standards to provide for greater regulatory flexibility that promotes resident housing development opportunities. Issues and standards to review include, but are not limited to:</w:t>
      </w:r>
    </w:p>
    <w:p w14:paraId="66FB8B4D" w14:textId="77777777" w:rsidR="00782A83" w:rsidRPr="00BA6536" w:rsidRDefault="00782A83" w:rsidP="00782A83">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parking requirements, particularly in June Lake and older central business districts;</w:t>
      </w:r>
    </w:p>
    <w:p w14:paraId="5B1BF312" w14:textId="77777777" w:rsidR="00782A83" w:rsidRPr="00BA6536" w:rsidRDefault="00782A83" w:rsidP="00782A83">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snow storage requirements;</w:t>
      </w:r>
    </w:p>
    <w:p w14:paraId="5A48DB2B" w14:textId="77777777" w:rsidR="00782A83" w:rsidRPr="00BA6536" w:rsidRDefault="00782A83" w:rsidP="00782A83">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allowing smaller minimum lot sizes where appropriate for affordability;</w:t>
      </w:r>
    </w:p>
    <w:p w14:paraId="380CF476" w14:textId="77777777" w:rsidR="00782A83" w:rsidRPr="00BA6536" w:rsidRDefault="00782A83" w:rsidP="00782A83">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broader application of the County’s Manufactured Housing Subdivision provisions, which allows for lots as small as 4,000 square feet; and</w:t>
      </w:r>
    </w:p>
    <w:p w14:paraId="640B25A9" w14:textId="77777777" w:rsidR="00782A83" w:rsidRPr="00BA6536" w:rsidRDefault="00782A83" w:rsidP="00782A83">
      <w:pPr>
        <w:numPr>
          <w:ilvl w:val="0"/>
          <w:numId w:val="4"/>
        </w:numPr>
        <w:tabs>
          <w:tab w:val="left" w:pos="1620"/>
        </w:tabs>
        <w:spacing w:after="0" w:line="280" w:lineRule="atLeast"/>
        <w:ind w:left="1620"/>
        <w:jc w:val="both"/>
        <w:rPr>
          <w:rFonts w:eastAsia="Times New Roman" w:cs="Times New Roman"/>
          <w:b/>
        </w:rPr>
      </w:pPr>
      <w:r w:rsidRPr="00BA6536">
        <w:rPr>
          <w:rFonts w:eastAsia="Times New Roman" w:cs="Times New Roman"/>
          <w:b/>
        </w:rPr>
        <w:t>establishing performance criteria as a substitute for some existing inflexible regulations for residential development.</w:t>
      </w:r>
    </w:p>
    <w:p w14:paraId="1AB0B996" w14:textId="77777777" w:rsidR="00E16F17" w:rsidRPr="00BA6536" w:rsidRDefault="00E16F17" w:rsidP="00E16F17">
      <w:pPr>
        <w:spacing w:after="0" w:line="280" w:lineRule="atLeast"/>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14:paraId="08CC6645"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0A2454" w:rsidRPr="00BA6536">
        <w:rPr>
          <w:rFonts w:eastAsia="Times New Roman" w:cs="Times New Roman"/>
        </w:rPr>
        <w:t>2014-2015</w:t>
      </w:r>
    </w:p>
    <w:p w14:paraId="247C101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0A2454" w:rsidRPr="00BA6536">
        <w:rPr>
          <w:rFonts w:eastAsia="Times New Roman" w:cs="Times New Roman"/>
        </w:rPr>
        <w:t>Grants</w:t>
      </w:r>
    </w:p>
    <w:p w14:paraId="46818CC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0A2454" w:rsidRPr="00BA6536">
        <w:rPr>
          <w:rFonts w:eastAsia="Times New Roman" w:cs="Times New Roman"/>
        </w:rPr>
        <w:t xml:space="preserve">All development standards will be evaluated, revised, and re-organized as part of the General Plan update.  </w:t>
      </w:r>
    </w:p>
    <w:p w14:paraId="7302B35D" w14:textId="77777777" w:rsidR="00E16F17" w:rsidRPr="00BA6536" w:rsidRDefault="00E16F17" w:rsidP="00782A83">
      <w:pPr>
        <w:spacing w:after="0" w:line="280" w:lineRule="atLeast"/>
        <w:ind w:left="1260" w:hanging="1260"/>
        <w:jc w:val="both"/>
        <w:rPr>
          <w:rFonts w:eastAsia="Times New Roman" w:cs="Times New Roman"/>
          <w:b/>
        </w:rPr>
      </w:pPr>
    </w:p>
    <w:p w14:paraId="49A7E767"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3:2</w:t>
      </w:r>
      <w:r w:rsidR="00782A83" w:rsidRPr="00BA6536">
        <w:rPr>
          <w:rFonts w:eastAsia="Times New Roman" w:cs="Times New Roman"/>
          <w:b/>
        </w:rPr>
        <w:tab/>
        <w:t xml:space="preserve">Consider revising the Land Development Regulations to clarify the use of manufactured housing, including requirements in non-residential land use designations, minimum standards for farm labor housing use, and the ability to propose manufactured housing subdivisions within additional land use designations. </w:t>
      </w:r>
    </w:p>
    <w:p w14:paraId="4965348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14:paraId="4A9E192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2014</w:t>
      </w:r>
    </w:p>
    <w:p w14:paraId="2E36F64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Grants</w:t>
      </w:r>
    </w:p>
    <w:p w14:paraId="0D9211B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Standards for farm labor housing will be addressed in the General Plan update.</w:t>
      </w:r>
    </w:p>
    <w:p w14:paraId="37BDE40F" w14:textId="77777777" w:rsidR="00782A83" w:rsidRPr="00BA6536" w:rsidRDefault="00782A83" w:rsidP="00782A83">
      <w:pPr>
        <w:spacing w:after="0" w:line="280" w:lineRule="atLeast"/>
        <w:ind w:left="1260" w:hanging="1260"/>
        <w:jc w:val="both"/>
        <w:rPr>
          <w:rFonts w:eastAsia="Times New Roman" w:cs="Times New Roman"/>
          <w:b/>
        </w:rPr>
      </w:pPr>
    </w:p>
    <w:p w14:paraId="0AE2D9BC"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3:3</w:t>
      </w:r>
      <w:r w:rsidR="00782A83" w:rsidRPr="00BA6536">
        <w:rPr>
          <w:rFonts w:eastAsia="Times New Roman" w:cs="Times New Roman"/>
          <w:b/>
        </w:rPr>
        <w:tab/>
        <w:t>Conduct preapplication conferences with project proponents to assist them in understanding permit procedures and to resolve potential application difficulties early in the review process.</w:t>
      </w:r>
    </w:p>
    <w:p w14:paraId="3BC7C34F"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14:paraId="799C888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Ongoing</w:t>
      </w:r>
    </w:p>
    <w:p w14:paraId="052DE92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General Fund</w:t>
      </w:r>
    </w:p>
    <w:p w14:paraId="4D553AE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Projects will continue to always be encouraged to go through the LDTAC preapplication process.</w:t>
      </w:r>
    </w:p>
    <w:p w14:paraId="59C0A3CD" w14:textId="77777777" w:rsidR="00782A83" w:rsidRPr="00BA6536" w:rsidRDefault="00782A83" w:rsidP="00782A83">
      <w:pPr>
        <w:spacing w:after="0" w:line="280" w:lineRule="atLeast"/>
        <w:ind w:left="1260" w:hanging="1260"/>
        <w:jc w:val="both"/>
        <w:rPr>
          <w:rFonts w:eastAsia="Times New Roman" w:cs="Times New Roman"/>
          <w:b/>
        </w:rPr>
      </w:pPr>
    </w:p>
    <w:p w14:paraId="4E58D60D" w14:textId="77777777" w:rsidR="00782A83" w:rsidRPr="00BA6536" w:rsidRDefault="00022FE4" w:rsidP="00782A83">
      <w:pPr>
        <w:spacing w:after="0" w:line="280" w:lineRule="atLeast"/>
        <w:ind w:left="1260" w:hanging="1260"/>
        <w:jc w:val="both"/>
        <w:rPr>
          <w:rFonts w:eastAsia="Times New Roman" w:cs="Times New Roman"/>
          <w:b/>
        </w:rPr>
      </w:pPr>
      <w:r>
        <w:rPr>
          <w:rFonts w:eastAsia="Times New Roman" w:cs="Times New Roman"/>
          <w:b/>
        </w:rPr>
        <w:t>Program 3:4</w:t>
      </w:r>
      <w:r w:rsidR="00782A83" w:rsidRPr="00BA6536">
        <w:rPr>
          <w:rFonts w:eastAsia="Times New Roman" w:cs="Times New Roman"/>
          <w:b/>
        </w:rPr>
        <w:tab/>
        <w:t>Review permit-processing procedures to ensure streamlining of the permit process. Review and revise application packets, as needed, to ensure that they are comprehensive, clear and easy to use.</w:t>
      </w:r>
    </w:p>
    <w:p w14:paraId="41187DC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14:paraId="639CFE1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2016</w:t>
      </w:r>
    </w:p>
    <w:p w14:paraId="18CCECA3"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General Fund</w:t>
      </w:r>
    </w:p>
    <w:p w14:paraId="089EDDB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 xml:space="preserve">Permit procedures are application materials are continuously reviewed particularly with each code change cycle. </w:t>
      </w:r>
    </w:p>
    <w:p w14:paraId="51AD8229" w14:textId="77777777" w:rsidR="004F7867" w:rsidRPr="00BA6536" w:rsidRDefault="004F7867" w:rsidP="004F7867">
      <w:pPr>
        <w:spacing w:after="0" w:line="280" w:lineRule="atLeast"/>
        <w:ind w:left="1260" w:hanging="1260"/>
        <w:jc w:val="both"/>
        <w:rPr>
          <w:rFonts w:eastAsia="Times New Roman" w:cs="Times New Roman"/>
          <w:b/>
        </w:rPr>
      </w:pPr>
    </w:p>
    <w:p w14:paraId="08674B52" w14:textId="77777777"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3:5</w:t>
      </w:r>
      <w:r w:rsidR="004F7867" w:rsidRPr="00BA6536">
        <w:rPr>
          <w:rFonts w:eastAsia="Times New Roman" w:cs="Times New Roman"/>
          <w:b/>
        </w:rPr>
        <w:tab/>
        <w:t>Amend the Land Development Regulations to provide a procedure for handling requests for reasonable accommodations made pursuant to state and federal fair housing laws.</w:t>
      </w:r>
    </w:p>
    <w:p w14:paraId="7DC135E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r w:rsidR="00F309A3" w:rsidRPr="00BA6536">
        <w:rPr>
          <w:rFonts w:eastAsia="Times New Roman" w:cs="Times New Roman"/>
        </w:rPr>
        <w:t>, BOS</w:t>
      </w:r>
    </w:p>
    <w:p w14:paraId="783D795D"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Ongoing</w:t>
      </w:r>
    </w:p>
    <w:p w14:paraId="6965E9A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General Fund</w:t>
      </w:r>
    </w:p>
    <w:p w14:paraId="05C0C7A5" w14:textId="77777777" w:rsidR="00E16F17" w:rsidRPr="00BA6536" w:rsidRDefault="00E16F17" w:rsidP="00F309A3">
      <w:pPr>
        <w:spacing w:after="0" w:line="280" w:lineRule="atLeast"/>
        <w:ind w:left="810" w:hanging="810"/>
        <w:jc w:val="both"/>
        <w:rPr>
          <w:rFonts w:eastAsia="Times New Roman" w:cs="Times New Roman"/>
        </w:rPr>
      </w:pPr>
      <w:r w:rsidRPr="00BA6536">
        <w:rPr>
          <w:rFonts w:eastAsia="Times New Roman" w:cs="Times New Roman"/>
        </w:rPr>
        <w:t xml:space="preserve">Actions: </w:t>
      </w:r>
      <w:r w:rsidR="00F309A3" w:rsidRPr="00BA6536">
        <w:rPr>
          <w:rFonts w:eastAsia="Times New Roman" w:cs="Times New Roman"/>
        </w:rPr>
        <w:t>As part of the comprehensive General Plan Update, an ordinance based upon the “Model Ordinance for Providing Reasonable Accommodation Under Federal and State Fair Housing Laws” will be adopted.</w:t>
      </w:r>
    </w:p>
    <w:p w14:paraId="4FB7A59C" w14:textId="77777777" w:rsidR="004F7867" w:rsidRPr="00BA6536" w:rsidRDefault="004F7867" w:rsidP="004F7867">
      <w:pPr>
        <w:spacing w:after="0" w:line="280" w:lineRule="atLeast"/>
        <w:ind w:left="1260" w:hanging="1260"/>
        <w:jc w:val="both"/>
        <w:rPr>
          <w:rFonts w:eastAsia="Times New Roman" w:cs="Times New Roman"/>
          <w:b/>
        </w:rPr>
      </w:pPr>
    </w:p>
    <w:p w14:paraId="53593301" w14:textId="77777777" w:rsidR="00782A83" w:rsidRPr="00BA6536" w:rsidRDefault="00782A83" w:rsidP="00782A83">
      <w:pPr>
        <w:spacing w:after="0" w:line="280" w:lineRule="atLeast"/>
        <w:ind w:left="1260" w:hanging="1260"/>
        <w:jc w:val="both"/>
        <w:rPr>
          <w:rFonts w:eastAsia="Times New Roman" w:cs="Times New Roman"/>
          <w:b/>
        </w:rPr>
      </w:pPr>
    </w:p>
    <w:p w14:paraId="20068555" w14:textId="77777777" w:rsidR="00782A83" w:rsidRPr="00BA6536" w:rsidRDefault="00782A83" w:rsidP="00782A83">
      <w:pPr>
        <w:spacing w:after="0" w:line="280" w:lineRule="atLeast"/>
        <w:ind w:left="1260" w:hanging="1260"/>
        <w:jc w:val="both"/>
        <w:rPr>
          <w:rFonts w:eastAsia="Times New Roman" w:cs="Times New Roman"/>
          <w:b/>
        </w:rPr>
      </w:pPr>
    </w:p>
    <w:p w14:paraId="3535CACC" w14:textId="77777777" w:rsidR="0071753C" w:rsidRPr="00BA6536" w:rsidRDefault="002E1FEA" w:rsidP="003D5E81">
      <w:pPr>
        <w:pStyle w:val="Heading3"/>
      </w:pPr>
      <w:bookmarkStart w:id="414" w:name="_Toc383700181"/>
      <w:r>
        <w:t xml:space="preserve">d. </w:t>
      </w:r>
      <w:r w:rsidR="0071753C" w:rsidRPr="00BA6536">
        <w:t>CONSERVATION AND REHABILITATION</w:t>
      </w:r>
      <w:bookmarkEnd w:id="414"/>
    </w:p>
    <w:p w14:paraId="6BB1C16F" w14:textId="77777777" w:rsidR="0071753C" w:rsidRPr="00BA6536" w:rsidRDefault="0071753C" w:rsidP="0071753C">
      <w:pPr>
        <w:pStyle w:val="BodyText"/>
        <w:spacing w:before="120" w:after="0" w:line="280" w:lineRule="atLeast"/>
        <w:ind w:left="1080" w:hanging="1080"/>
        <w:jc w:val="both"/>
        <w:rPr>
          <w:rFonts w:asciiTheme="minorHAnsi" w:hAnsiTheme="minorHAnsi"/>
          <w:sz w:val="22"/>
          <w:szCs w:val="22"/>
        </w:rPr>
      </w:pPr>
      <w:r w:rsidRPr="00BA6536">
        <w:rPr>
          <w:rFonts w:asciiTheme="minorHAnsi" w:hAnsiTheme="minorHAnsi"/>
          <w:sz w:val="22"/>
          <w:szCs w:val="22"/>
        </w:rPr>
        <w:t>Goal</w:t>
      </w:r>
      <w:r w:rsidRPr="00BA6536">
        <w:rPr>
          <w:rFonts w:asciiTheme="minorHAnsi" w:hAnsiTheme="minorHAnsi"/>
          <w:sz w:val="22"/>
          <w:szCs w:val="22"/>
        </w:rPr>
        <w:tab/>
        <w:t>Ensure the supply of safe, decent, sound housing for all residents.</w:t>
      </w:r>
    </w:p>
    <w:p w14:paraId="1D56AA8D"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p>
    <w:p w14:paraId="20D99401"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1</w:t>
      </w:r>
      <w:r w:rsidRPr="00BA6536">
        <w:rPr>
          <w:rFonts w:asciiTheme="minorHAnsi" w:hAnsiTheme="minorHAnsi"/>
          <w:sz w:val="22"/>
          <w:szCs w:val="22"/>
        </w:rPr>
        <w:tab/>
        <w:t>Promote energy conservation in all residential neighborhoods.</w:t>
      </w:r>
    </w:p>
    <w:p w14:paraId="560FA75B"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p>
    <w:p w14:paraId="3194225B"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2</w:t>
      </w:r>
      <w:r w:rsidRPr="00BA6536">
        <w:rPr>
          <w:rFonts w:asciiTheme="minorHAnsi" w:hAnsiTheme="minorHAnsi"/>
          <w:sz w:val="22"/>
          <w:szCs w:val="22"/>
        </w:rPr>
        <w:tab/>
        <w:t>Promote public awareness of the need for energy conservation.</w:t>
      </w:r>
    </w:p>
    <w:p w14:paraId="1AF6BDCD"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p>
    <w:p w14:paraId="06DC128E"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3</w:t>
      </w:r>
      <w:r w:rsidRPr="00BA6536">
        <w:rPr>
          <w:rFonts w:asciiTheme="minorHAnsi" w:hAnsiTheme="minorHAnsi"/>
          <w:sz w:val="22"/>
          <w:szCs w:val="22"/>
        </w:rPr>
        <w:tab/>
        <w:t>Support development of programs and</w:t>
      </w:r>
      <w:r w:rsidRPr="00BA6536">
        <w:rPr>
          <w:rFonts w:asciiTheme="minorHAnsi" w:hAnsiTheme="minorHAnsi"/>
          <w:i/>
          <w:sz w:val="22"/>
          <w:szCs w:val="22"/>
        </w:rPr>
        <w:t xml:space="preserve"> </w:t>
      </w:r>
      <w:r w:rsidRPr="00BA6536">
        <w:rPr>
          <w:rFonts w:asciiTheme="minorHAnsi" w:hAnsiTheme="minorHAnsi"/>
          <w:sz w:val="22"/>
          <w:szCs w:val="22"/>
        </w:rPr>
        <w:t>policies that achieve a high level of energy conservation in all new and rehabilitated housing units.</w:t>
      </w:r>
    </w:p>
    <w:p w14:paraId="43C08416" w14:textId="77777777" w:rsidR="0071753C" w:rsidRPr="00BA6536" w:rsidRDefault="0071753C" w:rsidP="0071753C">
      <w:pPr>
        <w:spacing w:after="0" w:line="280" w:lineRule="atLeast"/>
        <w:ind w:left="1080" w:hanging="1080"/>
        <w:jc w:val="both"/>
      </w:pPr>
    </w:p>
    <w:p w14:paraId="4B982A2A" w14:textId="77777777" w:rsidR="0071753C" w:rsidRPr="00BA6536" w:rsidRDefault="0071753C" w:rsidP="0071753C">
      <w:pPr>
        <w:spacing w:line="280" w:lineRule="atLeast"/>
        <w:ind w:left="1080" w:hanging="1080"/>
        <w:jc w:val="both"/>
      </w:pPr>
      <w:r w:rsidRPr="00BA6536">
        <w:t>Policy 4</w:t>
      </w:r>
      <w:r w:rsidRPr="00BA6536">
        <w:tab/>
        <w:t>Ensure that housing for all residents is safe and sound.</w:t>
      </w:r>
    </w:p>
    <w:p w14:paraId="279675DC" w14:textId="77777777" w:rsidR="0071753C" w:rsidRPr="00BA6536" w:rsidRDefault="0071753C" w:rsidP="0071753C">
      <w:pPr>
        <w:spacing w:line="280" w:lineRule="atLeast"/>
        <w:ind w:left="1080" w:hanging="1080"/>
        <w:jc w:val="both"/>
      </w:pPr>
      <w:r w:rsidRPr="00BA6536">
        <w:t>Policy 5</w:t>
      </w:r>
      <w:r w:rsidRPr="00BA6536">
        <w:tab/>
        <w:t>Maintain the existing affordable housing stock through rehabilitation, replacement and conservation.</w:t>
      </w:r>
    </w:p>
    <w:p w14:paraId="52344247" w14:textId="77777777"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4:1</w:t>
      </w:r>
      <w:r w:rsidR="004F7867" w:rsidRPr="00BA6536">
        <w:rPr>
          <w:rFonts w:eastAsia="Times New Roman" w:cs="Times New Roman"/>
          <w:b/>
        </w:rPr>
        <w:tab/>
        <w:t>Continue to implement General Plan policies concerning the use of alternative energy sources (active and passive solar, etc.) in the development, rehabilitation, and replacement of housing units, including enforcement of Title 24 of the California Energy Commission Regulations</w:t>
      </w:r>
      <w:r w:rsidR="004F7867" w:rsidRPr="00BA6536">
        <w:rPr>
          <w:rFonts w:eastAsia="Times New Roman" w:cs="Times New Roman"/>
          <w:b/>
          <w:i/>
        </w:rPr>
        <w:t>.</w:t>
      </w:r>
      <w:r w:rsidR="004F7867" w:rsidRPr="00BA6536">
        <w:rPr>
          <w:rFonts w:eastAsia="Times New Roman" w:cs="Times New Roman"/>
          <w:b/>
        </w:rPr>
        <w:t xml:space="preserve"> </w:t>
      </w:r>
    </w:p>
    <w:p w14:paraId="39DF70F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14:paraId="4BFD7F0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4A0D57" w:rsidRPr="00BA6536">
        <w:rPr>
          <w:rFonts w:eastAsia="Times New Roman" w:cs="Times New Roman"/>
        </w:rPr>
        <w:t>Ongoing</w:t>
      </w:r>
    </w:p>
    <w:p w14:paraId="56FF44CD"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4A0D57" w:rsidRPr="00BA6536">
        <w:rPr>
          <w:rFonts w:eastAsia="Times New Roman" w:cs="Times New Roman"/>
        </w:rPr>
        <w:t>Application Fees</w:t>
      </w:r>
    </w:p>
    <w:p w14:paraId="19FF3FB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4A0D57" w:rsidRPr="00BA6536">
        <w:rPr>
          <w:rFonts w:eastAsia="Times New Roman" w:cs="Times New Roman"/>
        </w:rPr>
        <w:t>Implement as development occurs.</w:t>
      </w:r>
    </w:p>
    <w:p w14:paraId="703C481D" w14:textId="77777777" w:rsidR="00E16F17" w:rsidRPr="00BA6536" w:rsidRDefault="00E16F17" w:rsidP="004F7867">
      <w:pPr>
        <w:spacing w:after="0" w:line="280" w:lineRule="atLeast"/>
        <w:ind w:left="1260" w:hanging="1260"/>
        <w:jc w:val="both"/>
        <w:rPr>
          <w:rFonts w:eastAsia="Times New Roman" w:cs="Times New Roman"/>
          <w:b/>
        </w:rPr>
      </w:pPr>
    </w:p>
    <w:p w14:paraId="53A76B4F" w14:textId="77777777"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4:2</w:t>
      </w:r>
      <w:r w:rsidR="004F7867" w:rsidRPr="00BA6536">
        <w:rPr>
          <w:rFonts w:eastAsia="Times New Roman" w:cs="Times New Roman"/>
          <w:b/>
        </w:rPr>
        <w:tab/>
        <w:t>Support the continuation of home weatherization programs offered by state agencies, utility companies and other groups.</w:t>
      </w:r>
    </w:p>
    <w:p w14:paraId="58CC8965"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w:t>
      </w:r>
    </w:p>
    <w:p w14:paraId="39BFBD6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4A0D57" w:rsidRPr="00BA6536">
        <w:rPr>
          <w:rFonts w:eastAsia="Times New Roman" w:cs="Times New Roman"/>
        </w:rPr>
        <w:t>Ongoing</w:t>
      </w:r>
    </w:p>
    <w:p w14:paraId="0BD2373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4A0D57" w:rsidRPr="00BA6536">
        <w:rPr>
          <w:rFonts w:eastAsia="Times New Roman" w:cs="Times New Roman"/>
        </w:rPr>
        <w:t>Grants, General Fund</w:t>
      </w:r>
    </w:p>
    <w:p w14:paraId="1A9C28AC"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4A0D57" w:rsidRPr="00BA6536">
        <w:rPr>
          <w:rFonts w:eastAsia="Times New Roman" w:cs="Times New Roman"/>
        </w:rPr>
        <w:t>Continue to provide information on web-site, at permit counter, and distribute information at RPACs.</w:t>
      </w:r>
    </w:p>
    <w:p w14:paraId="73D1081A" w14:textId="77777777" w:rsidR="004F7867" w:rsidRPr="00BA6536" w:rsidRDefault="004F7867" w:rsidP="004F7867">
      <w:pPr>
        <w:spacing w:after="0" w:line="280" w:lineRule="atLeast"/>
        <w:ind w:left="1260" w:hanging="1260"/>
        <w:jc w:val="both"/>
        <w:rPr>
          <w:rFonts w:eastAsia="Times New Roman" w:cs="Times New Roman"/>
          <w:b/>
        </w:rPr>
      </w:pPr>
    </w:p>
    <w:p w14:paraId="3530C16F" w14:textId="77777777"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4:3</w:t>
      </w:r>
      <w:r w:rsidR="004F7867" w:rsidRPr="00BA6536">
        <w:rPr>
          <w:rFonts w:eastAsia="Times New Roman" w:cs="Times New Roman"/>
          <w:b/>
        </w:rPr>
        <w:tab/>
        <w:t>Make information available to homeowners and renters regarding weatherization and other programs that may assist in maintaining the affordability of housing units.</w:t>
      </w:r>
    </w:p>
    <w:p w14:paraId="2A79A00F"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A626E" w:rsidRPr="00BA6536">
        <w:rPr>
          <w:rFonts w:eastAsia="Times New Roman" w:cs="Times New Roman"/>
        </w:rPr>
        <w:t>CDD</w:t>
      </w:r>
    </w:p>
    <w:p w14:paraId="16FE260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Ongoing.</w:t>
      </w:r>
    </w:p>
    <w:p w14:paraId="2F05DECB"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Grants, General Fund</w:t>
      </w:r>
    </w:p>
    <w:p w14:paraId="0F40DC1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Continue to provide information on web-site, at permit counter, and distribute information at RPACs</w:t>
      </w:r>
    </w:p>
    <w:p w14:paraId="4647A5EF" w14:textId="77777777" w:rsidR="004F7867" w:rsidRPr="00BA6536" w:rsidRDefault="000A177D" w:rsidP="004F7867">
      <w:pPr>
        <w:spacing w:after="0" w:line="280" w:lineRule="atLeast"/>
        <w:ind w:left="1260" w:hanging="1260"/>
        <w:jc w:val="both"/>
        <w:rPr>
          <w:rFonts w:eastAsia="Times New Roman" w:cs="Times New Roman"/>
        </w:rPr>
      </w:pPr>
      <w:r w:rsidRPr="00BA6536">
        <w:rPr>
          <w:rFonts w:eastAsia="Times New Roman" w:cs="Times New Roman"/>
        </w:rPr>
        <w:t xml:space="preserve">  </w:t>
      </w:r>
    </w:p>
    <w:p w14:paraId="45B5A448" w14:textId="77777777"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4:4</w:t>
      </w:r>
      <w:r w:rsidR="004F7867" w:rsidRPr="00BA6536">
        <w:rPr>
          <w:rFonts w:eastAsia="Times New Roman" w:cs="Times New Roman"/>
          <w:b/>
        </w:rPr>
        <w:tab/>
        <w:t xml:space="preserve">Periodically update the housing conditions survey to identify areas in Mono County that would benefit from rehabilitation. </w:t>
      </w:r>
    </w:p>
    <w:p w14:paraId="646C2B8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DA626E" w:rsidRPr="00BA6536">
        <w:rPr>
          <w:rFonts w:eastAsia="Times New Roman" w:cs="Times New Roman"/>
        </w:rPr>
        <w:t>CDD (Building Division)</w:t>
      </w:r>
    </w:p>
    <w:p w14:paraId="24CFD8C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8A5D4F" w:rsidRPr="00BA6536">
        <w:rPr>
          <w:rFonts w:eastAsia="Times New Roman" w:cs="Times New Roman"/>
        </w:rPr>
        <w:t>2016</w:t>
      </w:r>
    </w:p>
    <w:p w14:paraId="54BC1D3D"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4A0D57" w:rsidRPr="00BA6536">
        <w:rPr>
          <w:rFonts w:eastAsia="Times New Roman" w:cs="Times New Roman"/>
        </w:rPr>
        <w:t>General Fund</w:t>
      </w:r>
    </w:p>
    <w:p w14:paraId="4FBA89EC" w14:textId="77777777" w:rsidR="00E16F17" w:rsidRPr="00BA6536" w:rsidRDefault="00DA626E"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4A0D57" w:rsidRPr="00BA6536">
        <w:rPr>
          <w:rFonts w:eastAsia="Times New Roman" w:cs="Times New Roman"/>
        </w:rPr>
        <w:t xml:space="preserve">Update during planning cycle. </w:t>
      </w:r>
    </w:p>
    <w:p w14:paraId="4249F7A1" w14:textId="77777777" w:rsidR="004F7867" w:rsidRPr="00BA6536" w:rsidRDefault="004F7867" w:rsidP="004F7867">
      <w:pPr>
        <w:spacing w:after="0" w:line="280" w:lineRule="atLeast"/>
        <w:ind w:left="1260" w:hanging="1260"/>
        <w:jc w:val="both"/>
        <w:rPr>
          <w:rFonts w:eastAsia="Times New Roman" w:cs="Times New Roman"/>
          <w:b/>
        </w:rPr>
      </w:pPr>
    </w:p>
    <w:p w14:paraId="2AADAD9C" w14:textId="77777777" w:rsidR="004F7867" w:rsidRPr="00BA6536" w:rsidRDefault="00022FE4" w:rsidP="004F7867">
      <w:pPr>
        <w:spacing w:after="0" w:line="280" w:lineRule="atLeast"/>
        <w:ind w:left="1260" w:hanging="1260"/>
        <w:jc w:val="both"/>
        <w:rPr>
          <w:rFonts w:eastAsia="Times New Roman" w:cs="Times New Roman"/>
        </w:rPr>
      </w:pPr>
      <w:r>
        <w:rPr>
          <w:rFonts w:eastAsia="Times New Roman" w:cs="Times New Roman"/>
          <w:b/>
        </w:rPr>
        <w:t>Program 4:5</w:t>
      </w:r>
      <w:r w:rsidR="004F7867" w:rsidRPr="00BA6536">
        <w:rPr>
          <w:rFonts w:eastAsia="Times New Roman" w:cs="Times New Roman"/>
          <w:b/>
        </w:rPr>
        <w:tab/>
        <w:t xml:space="preserve">Continue to participate in the state's Community Development Block Grant (CDBG) program for rehabilitation of owner-occupied housing units. The County's goal is to rehabilitate </w:t>
      </w:r>
      <w:r w:rsidR="008B53A7" w:rsidRPr="00BA6536">
        <w:rPr>
          <w:rFonts w:eastAsia="Times New Roman" w:cs="Times New Roman"/>
          <w:b/>
        </w:rPr>
        <w:t>5</w:t>
      </w:r>
      <w:r w:rsidR="004F7867" w:rsidRPr="00BA6536">
        <w:rPr>
          <w:rFonts w:eastAsia="Times New Roman" w:cs="Times New Roman"/>
          <w:b/>
        </w:rPr>
        <w:t xml:space="preserve"> units during the planning period. The County will apply annually for CDBG funds.</w:t>
      </w:r>
    </w:p>
    <w:p w14:paraId="63EA168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B53A7" w:rsidRPr="00BA6536">
        <w:rPr>
          <w:rFonts w:eastAsia="Times New Roman" w:cs="Times New Roman"/>
        </w:rPr>
        <w:t>CDD, Finance</w:t>
      </w:r>
    </w:p>
    <w:p w14:paraId="266E551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8A5D4F" w:rsidRPr="00BA6536">
        <w:rPr>
          <w:rFonts w:eastAsia="Times New Roman" w:cs="Times New Roman"/>
        </w:rPr>
        <w:t>Ongoing</w:t>
      </w:r>
    </w:p>
    <w:p w14:paraId="71C3215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8A5D4F" w:rsidRPr="00BA6536">
        <w:rPr>
          <w:rFonts w:eastAsia="Times New Roman" w:cs="Times New Roman"/>
        </w:rPr>
        <w:t>Grants</w:t>
      </w:r>
    </w:p>
    <w:p w14:paraId="65E37D4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604D5" w:rsidRPr="00BA6536">
        <w:rPr>
          <w:rFonts w:eastAsia="Times New Roman" w:cs="Times New Roman"/>
        </w:rPr>
        <w:t xml:space="preserve">Continue to implement </w:t>
      </w:r>
      <w:r w:rsidR="00833747">
        <w:rPr>
          <w:rFonts w:eastAsia="Times New Roman" w:cs="Times New Roman"/>
        </w:rPr>
        <w:t xml:space="preserve">program </w:t>
      </w:r>
      <w:r w:rsidR="00833747" w:rsidRPr="00776763">
        <w:rPr>
          <w:rFonts w:eastAsia="Times New Roman" w:cs="Times New Roman"/>
        </w:rPr>
        <w:t>when eligible, apply for CDGB funding in 2015</w:t>
      </w:r>
      <w:r w:rsidR="007604D5" w:rsidRPr="00776763">
        <w:rPr>
          <w:rFonts w:eastAsia="Times New Roman" w:cs="Times New Roman"/>
        </w:rPr>
        <w:t>.</w:t>
      </w:r>
    </w:p>
    <w:p w14:paraId="63499868" w14:textId="77777777" w:rsidR="004F7867" w:rsidRPr="00BA6536" w:rsidRDefault="004F7867" w:rsidP="004F7867">
      <w:pPr>
        <w:spacing w:after="0" w:line="280" w:lineRule="atLeast"/>
        <w:ind w:left="1260" w:hanging="1260"/>
        <w:jc w:val="both"/>
        <w:rPr>
          <w:rFonts w:eastAsia="Times New Roman" w:cs="Times New Roman"/>
          <w:b/>
        </w:rPr>
      </w:pPr>
    </w:p>
    <w:p w14:paraId="1968AD8B" w14:textId="77777777"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4:6</w:t>
      </w:r>
      <w:r w:rsidR="004F7867" w:rsidRPr="00BA6536">
        <w:rPr>
          <w:rFonts w:eastAsia="Times New Roman" w:cs="Times New Roman"/>
          <w:b/>
        </w:rPr>
        <w:tab/>
        <w:t xml:space="preserve">Provide community education regarding the availability of rehabilitation programs and provide public outreach regarding the availability of rehabilitation programs to low- and very low-income households and other special needs groups in areas identified as needing rehabilitation. </w:t>
      </w:r>
    </w:p>
    <w:p w14:paraId="5FD6663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8A5D4F" w:rsidRPr="00BA6536">
        <w:rPr>
          <w:rFonts w:eastAsia="Times New Roman" w:cs="Times New Roman"/>
        </w:rPr>
        <w:t>CDD, Housing Au</w:t>
      </w:r>
      <w:r w:rsidR="008B53A7" w:rsidRPr="00BA6536">
        <w:rPr>
          <w:rFonts w:eastAsia="Times New Roman" w:cs="Times New Roman"/>
        </w:rPr>
        <w:t>thority</w:t>
      </w:r>
    </w:p>
    <w:p w14:paraId="3F1C391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1661D" w:rsidRPr="00BA6536">
        <w:rPr>
          <w:rFonts w:eastAsia="Times New Roman" w:cs="Times New Roman"/>
        </w:rPr>
        <w:t>Ongoing</w:t>
      </w:r>
    </w:p>
    <w:p w14:paraId="38C679B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1661D" w:rsidRPr="00BA6536">
        <w:rPr>
          <w:rFonts w:eastAsia="Times New Roman" w:cs="Times New Roman"/>
        </w:rPr>
        <w:t>Grants</w:t>
      </w:r>
    </w:p>
    <w:p w14:paraId="313896A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1661D" w:rsidRPr="00BA6536">
        <w:rPr>
          <w:rFonts w:eastAsia="Times New Roman" w:cs="Times New Roman"/>
        </w:rPr>
        <w:t>Continue to provide information on web-site, at permit counter, and distribute information at RPACs.</w:t>
      </w:r>
    </w:p>
    <w:p w14:paraId="62F88CD0" w14:textId="77777777" w:rsidR="004F7867" w:rsidRPr="00BA6536" w:rsidRDefault="004F7867"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b/>
        </w:rPr>
      </w:pPr>
    </w:p>
    <w:p w14:paraId="743EE2F9" w14:textId="77777777" w:rsidR="0071753C" w:rsidRPr="00BA6536" w:rsidRDefault="00022FE4"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b/>
        </w:rPr>
      </w:pPr>
      <w:r>
        <w:rPr>
          <w:rFonts w:eastAsia="Times New Roman" w:cs="Times New Roman"/>
          <w:b/>
        </w:rPr>
        <w:t>Program 4:7</w:t>
      </w:r>
      <w:r w:rsidR="004F7867" w:rsidRPr="00BA6536">
        <w:rPr>
          <w:rFonts w:eastAsia="Times New Roman" w:cs="Times New Roman"/>
          <w:b/>
        </w:rPr>
        <w:t xml:space="preserve"> Assist applicants in accessing home rehabilitation loans.</w:t>
      </w:r>
    </w:p>
    <w:p w14:paraId="2B965B6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0A177D" w:rsidRPr="00BA6536">
        <w:rPr>
          <w:rFonts w:eastAsia="Times New Roman" w:cs="Times New Roman"/>
        </w:rPr>
        <w:t>CDD</w:t>
      </w:r>
      <w:r w:rsidR="008B53A7" w:rsidRPr="00BA6536">
        <w:rPr>
          <w:rFonts w:eastAsia="Times New Roman" w:cs="Times New Roman"/>
        </w:rPr>
        <w:t>, Finance</w:t>
      </w:r>
    </w:p>
    <w:p w14:paraId="423C4186"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1661D" w:rsidRPr="00BA6536">
        <w:rPr>
          <w:rFonts w:eastAsia="Times New Roman" w:cs="Times New Roman"/>
        </w:rPr>
        <w:t>Ongoing</w:t>
      </w:r>
    </w:p>
    <w:p w14:paraId="1CAA8EB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1661D" w:rsidRPr="00BA6536">
        <w:rPr>
          <w:rFonts w:eastAsia="Times New Roman" w:cs="Times New Roman"/>
        </w:rPr>
        <w:t>Grants</w:t>
      </w:r>
    </w:p>
    <w:p w14:paraId="5632D96D"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Actions:</w:t>
      </w:r>
      <w:r w:rsidR="0091661D" w:rsidRPr="00BA6536">
        <w:rPr>
          <w:rFonts w:eastAsia="Times New Roman" w:cs="Times New Roman"/>
        </w:rPr>
        <w:t xml:space="preserve"> Continue to provide information on web-site, at permit counter, and distribute information at RPACs.</w:t>
      </w:r>
      <w:r w:rsidRPr="00BA6536">
        <w:rPr>
          <w:rFonts w:eastAsia="Times New Roman" w:cs="Times New Roman"/>
        </w:rPr>
        <w:t xml:space="preserve"> </w:t>
      </w:r>
    </w:p>
    <w:p w14:paraId="77CC1298" w14:textId="77777777" w:rsidR="004F7867" w:rsidRPr="00BA6536" w:rsidRDefault="004F7867"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b/>
        </w:rPr>
      </w:pPr>
    </w:p>
    <w:p w14:paraId="6AF255EA" w14:textId="77777777"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4:8</w:t>
      </w:r>
      <w:r w:rsidR="004F7867" w:rsidRPr="00BA6536">
        <w:rPr>
          <w:rFonts w:eastAsia="Times New Roman" w:cs="Times New Roman"/>
          <w:b/>
        </w:rPr>
        <w:tab/>
        <w:t xml:space="preserve">Consider methods to encourage the private rehabilitation of housing, particularly rental housing. </w:t>
      </w:r>
    </w:p>
    <w:p w14:paraId="6DD6E638"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0A177D" w:rsidRPr="00BA6536">
        <w:rPr>
          <w:rFonts w:eastAsia="Times New Roman" w:cs="Times New Roman"/>
        </w:rPr>
        <w:t>CDD</w:t>
      </w:r>
      <w:r w:rsidR="0091661D" w:rsidRPr="00BA6536">
        <w:rPr>
          <w:rFonts w:eastAsia="Times New Roman" w:cs="Times New Roman"/>
        </w:rPr>
        <w:t xml:space="preserve"> (Building Division)</w:t>
      </w:r>
    </w:p>
    <w:p w14:paraId="684AE80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1661D" w:rsidRPr="00BA6536">
        <w:rPr>
          <w:rFonts w:eastAsia="Times New Roman" w:cs="Times New Roman"/>
        </w:rPr>
        <w:t>Ongoing</w:t>
      </w:r>
    </w:p>
    <w:p w14:paraId="1CB548B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1661D" w:rsidRPr="00BA6536">
        <w:rPr>
          <w:rFonts w:eastAsia="Times New Roman" w:cs="Times New Roman"/>
        </w:rPr>
        <w:t>Grants</w:t>
      </w:r>
    </w:p>
    <w:p w14:paraId="71B34FF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Continue to provide information on web-site, at permit counter, and distribute information at RPACs.</w:t>
      </w:r>
    </w:p>
    <w:p w14:paraId="070FE5D7" w14:textId="77777777" w:rsidR="004F7867" w:rsidRPr="00BA6536" w:rsidRDefault="004F7867" w:rsidP="004F7867">
      <w:pPr>
        <w:spacing w:after="0" w:line="280" w:lineRule="atLeast"/>
        <w:ind w:left="1260" w:hanging="1260"/>
        <w:jc w:val="both"/>
        <w:rPr>
          <w:rFonts w:eastAsia="Times New Roman" w:cs="Times New Roman"/>
          <w:b/>
        </w:rPr>
      </w:pPr>
    </w:p>
    <w:p w14:paraId="07F12F9E" w14:textId="77777777"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4:9</w:t>
      </w:r>
      <w:r w:rsidR="004F7867" w:rsidRPr="00BA6536">
        <w:rPr>
          <w:rFonts w:eastAsia="Times New Roman" w:cs="Times New Roman"/>
          <w:b/>
        </w:rPr>
        <w:tab/>
        <w:t>Consider developing an active rental inspection program to ensure rental housing maintenance. This may require a fee to support inspection services. Careful consideration should be given to the fee structure to avoid increasing the costs of rental housing. Also consider a "self-certification program" for landlords who participate in a maintenance/management training program. Apply for and utilize CDBG funds to ensure affordability will not be affected by maintenance activities.</w:t>
      </w:r>
    </w:p>
    <w:p w14:paraId="4ABC70F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E119C" w:rsidRPr="00BA6536">
        <w:rPr>
          <w:rFonts w:eastAsia="Times New Roman" w:cs="Times New Roman"/>
        </w:rPr>
        <w:t>CDD (Building Division)</w:t>
      </w:r>
    </w:p>
    <w:p w14:paraId="3A460F1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Ongoing</w:t>
      </w:r>
    </w:p>
    <w:p w14:paraId="2CBDC60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General Fund</w:t>
      </w:r>
    </w:p>
    <w:p w14:paraId="0762471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Continue to offer informal pre-inspection services.</w:t>
      </w:r>
    </w:p>
    <w:p w14:paraId="604D392E" w14:textId="77777777" w:rsidR="004F7867" w:rsidRPr="00BA6536" w:rsidRDefault="004F7867" w:rsidP="004F7867">
      <w:pPr>
        <w:spacing w:after="0" w:line="280" w:lineRule="atLeast"/>
        <w:ind w:left="1260" w:hanging="1260"/>
        <w:jc w:val="both"/>
        <w:rPr>
          <w:rFonts w:eastAsia="Times New Roman" w:cs="Times New Roman"/>
          <w:b/>
        </w:rPr>
      </w:pPr>
    </w:p>
    <w:p w14:paraId="0D978A08" w14:textId="77777777" w:rsidR="004F7867" w:rsidRPr="00BA6536" w:rsidRDefault="00022FE4" w:rsidP="004F7867">
      <w:pPr>
        <w:spacing w:after="0" w:line="280" w:lineRule="atLeast"/>
        <w:ind w:left="1260" w:hanging="1260"/>
        <w:jc w:val="both"/>
        <w:rPr>
          <w:rFonts w:eastAsia="Times New Roman" w:cs="Times New Roman"/>
          <w:b/>
        </w:rPr>
      </w:pPr>
      <w:r>
        <w:rPr>
          <w:rFonts w:eastAsia="Times New Roman" w:cs="Times New Roman"/>
          <w:b/>
        </w:rPr>
        <w:t>Program 4:10</w:t>
      </w:r>
      <w:r w:rsidR="004F7867" w:rsidRPr="00BA6536">
        <w:rPr>
          <w:rFonts w:eastAsia="Times New Roman" w:cs="Times New Roman"/>
          <w:b/>
        </w:rPr>
        <w:tab/>
      </w:r>
      <w:r>
        <w:rPr>
          <w:rFonts w:eastAsia="Times New Roman" w:cs="Times New Roman"/>
          <w:b/>
        </w:rPr>
        <w:t xml:space="preserve"> </w:t>
      </w:r>
      <w:r w:rsidR="004F7867" w:rsidRPr="00BA6536">
        <w:rPr>
          <w:rFonts w:eastAsia="Times New Roman" w:cs="Times New Roman"/>
          <w:b/>
        </w:rPr>
        <w:t xml:space="preserve">Encourage the private rehabilitation of housing through enforcement of the property maintenance provisions of the various building codes enforced by the County. </w:t>
      </w:r>
    </w:p>
    <w:p w14:paraId="0997131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E119C" w:rsidRPr="00BA6536">
        <w:rPr>
          <w:rFonts w:eastAsia="Times New Roman" w:cs="Times New Roman"/>
        </w:rPr>
        <w:t>CDD (Code Enforcement)</w:t>
      </w:r>
    </w:p>
    <w:p w14:paraId="03C476C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002D3" w:rsidRPr="00BA6536">
        <w:rPr>
          <w:rFonts w:eastAsia="Times New Roman" w:cs="Times New Roman"/>
        </w:rPr>
        <w:t>Ongoing</w:t>
      </w:r>
    </w:p>
    <w:p w14:paraId="230DA23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002D3" w:rsidRPr="00BA6536">
        <w:rPr>
          <w:rFonts w:eastAsia="Times New Roman" w:cs="Times New Roman"/>
        </w:rPr>
        <w:t>Compliance Fees, General Fund</w:t>
      </w:r>
    </w:p>
    <w:p w14:paraId="5D13C28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9002D3" w:rsidRPr="00BA6536">
        <w:rPr>
          <w:rFonts w:eastAsia="Times New Roman" w:cs="Times New Roman"/>
        </w:rPr>
        <w:t>Continue to identify and address property maintenance issues.</w:t>
      </w:r>
    </w:p>
    <w:p w14:paraId="5A19E279" w14:textId="77777777" w:rsidR="004F7867" w:rsidRPr="00BA6536" w:rsidRDefault="004F7867" w:rsidP="004F7867">
      <w:pPr>
        <w:spacing w:after="0" w:line="280" w:lineRule="atLeast"/>
        <w:jc w:val="both"/>
        <w:rPr>
          <w:rFonts w:eastAsia="Times New Roman" w:cs="Times New Roman"/>
          <w:b/>
        </w:rPr>
      </w:pPr>
    </w:p>
    <w:p w14:paraId="2E120F5B" w14:textId="77777777" w:rsidR="004F7867" w:rsidRPr="00BA6536" w:rsidRDefault="00022FE4" w:rsidP="004F7867">
      <w:pPr>
        <w:spacing w:after="0" w:line="280" w:lineRule="atLeast"/>
        <w:jc w:val="both"/>
        <w:rPr>
          <w:rFonts w:eastAsia="Times New Roman" w:cs="Times New Roman"/>
          <w:b/>
        </w:rPr>
      </w:pPr>
      <w:r>
        <w:rPr>
          <w:rFonts w:eastAsia="Times New Roman" w:cs="Times New Roman"/>
          <w:b/>
        </w:rPr>
        <w:t>Program 4:11</w:t>
      </w:r>
      <w:r w:rsidR="004F7867" w:rsidRPr="00BA6536">
        <w:rPr>
          <w:rFonts w:eastAsia="Times New Roman" w:cs="Times New Roman"/>
          <w:b/>
        </w:rPr>
        <w:tab/>
        <w:t>Encourage the rehabilitation of existing units over their demolition where practical through such measures as:</w:t>
      </w:r>
    </w:p>
    <w:p w14:paraId="05E3CFE8" w14:textId="77777777" w:rsidR="004F7867" w:rsidRPr="00BA6536" w:rsidRDefault="004F7867" w:rsidP="004F7867">
      <w:pPr>
        <w:numPr>
          <w:ilvl w:val="0"/>
          <w:numId w:val="13"/>
        </w:numPr>
        <w:spacing w:after="0" w:line="280" w:lineRule="atLeast"/>
        <w:ind w:left="1440"/>
        <w:jc w:val="both"/>
        <w:rPr>
          <w:rFonts w:eastAsia="Times New Roman" w:cs="Times New Roman"/>
          <w:b/>
        </w:rPr>
      </w:pPr>
      <w:r w:rsidRPr="00BA6536">
        <w:rPr>
          <w:rFonts w:eastAsia="Times New Roman" w:cs="Times New Roman"/>
          <w:b/>
        </w:rPr>
        <w:t>Providing flexibility in administering building code requirements to facilitate the repair, remodel and refurbishment of existing units instead of their demolition;</w:t>
      </w:r>
    </w:p>
    <w:p w14:paraId="0FABB374" w14:textId="77777777" w:rsidR="004F7867" w:rsidRPr="00BA6536" w:rsidRDefault="004F7867" w:rsidP="004F7867">
      <w:pPr>
        <w:numPr>
          <w:ilvl w:val="0"/>
          <w:numId w:val="13"/>
        </w:numPr>
        <w:spacing w:after="0" w:line="280" w:lineRule="atLeast"/>
        <w:ind w:left="1440"/>
        <w:jc w:val="both"/>
        <w:rPr>
          <w:rFonts w:eastAsia="Times New Roman" w:cs="Times New Roman"/>
          <w:b/>
        </w:rPr>
      </w:pPr>
      <w:r w:rsidRPr="00BA6536">
        <w:rPr>
          <w:rFonts w:eastAsia="Times New Roman" w:cs="Times New Roman"/>
          <w:b/>
        </w:rPr>
        <w:t>Developing a user-friendly process for repair, remodel and refurbishment, including handouts;</w:t>
      </w:r>
    </w:p>
    <w:p w14:paraId="49101725" w14:textId="77777777" w:rsidR="004F7867" w:rsidRPr="00BA6536" w:rsidRDefault="004F7867" w:rsidP="004F7867">
      <w:pPr>
        <w:numPr>
          <w:ilvl w:val="0"/>
          <w:numId w:val="13"/>
        </w:numPr>
        <w:spacing w:after="0" w:line="280" w:lineRule="atLeast"/>
        <w:ind w:left="1440"/>
        <w:jc w:val="both"/>
        <w:rPr>
          <w:rFonts w:eastAsia="Times New Roman" w:cs="Times New Roman"/>
          <w:b/>
        </w:rPr>
      </w:pPr>
      <w:r w:rsidRPr="00BA6536">
        <w:rPr>
          <w:rFonts w:eastAsia="Times New Roman" w:cs="Times New Roman"/>
          <w:b/>
        </w:rPr>
        <w:t>Providing courtesy walk-through field assistance for owners seeking help in determining if demolition is necessary;</w:t>
      </w:r>
    </w:p>
    <w:p w14:paraId="0954D484" w14:textId="77777777" w:rsidR="004F7867" w:rsidRPr="00BA6536" w:rsidRDefault="004F7867" w:rsidP="004F7867">
      <w:pPr>
        <w:numPr>
          <w:ilvl w:val="0"/>
          <w:numId w:val="13"/>
        </w:numPr>
        <w:spacing w:after="0" w:line="280" w:lineRule="atLeast"/>
        <w:ind w:left="1440"/>
        <w:jc w:val="both"/>
        <w:rPr>
          <w:rFonts w:eastAsia="Times New Roman" w:cs="Times New Roman"/>
          <w:b/>
        </w:rPr>
      </w:pPr>
      <w:r w:rsidRPr="00BA6536">
        <w:rPr>
          <w:rFonts w:eastAsia="Times New Roman" w:cs="Times New Roman"/>
          <w:b/>
        </w:rPr>
        <w:t>Considering fee reductions and fast-track permit review for qualifying remodels; and</w:t>
      </w:r>
    </w:p>
    <w:p w14:paraId="166978EA" w14:textId="77777777" w:rsidR="004F7867" w:rsidRPr="00BA6536" w:rsidRDefault="004F7867" w:rsidP="004F7867">
      <w:pPr>
        <w:numPr>
          <w:ilvl w:val="0"/>
          <w:numId w:val="13"/>
        </w:numPr>
        <w:spacing w:after="0" w:line="280" w:lineRule="atLeast"/>
        <w:ind w:left="1440"/>
        <w:jc w:val="both"/>
        <w:rPr>
          <w:rFonts w:eastAsia="Times New Roman" w:cs="Times New Roman"/>
          <w:b/>
        </w:rPr>
      </w:pPr>
      <w:r w:rsidRPr="00BA6536">
        <w:rPr>
          <w:rFonts w:eastAsia="Times New Roman" w:cs="Times New Roman"/>
          <w:b/>
        </w:rPr>
        <w:t>Conducting outreach to communities and development interests regarding programs available for repair, remodel and refurbishment.</w:t>
      </w:r>
    </w:p>
    <w:p w14:paraId="67505BE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E119C" w:rsidRPr="00BA6536">
        <w:rPr>
          <w:rFonts w:eastAsia="Times New Roman" w:cs="Times New Roman"/>
        </w:rPr>
        <w:t>CDD (Building Division)</w:t>
      </w:r>
    </w:p>
    <w:p w14:paraId="10E1D3C2"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3C3C27" w:rsidRPr="00BA6536">
        <w:rPr>
          <w:rFonts w:eastAsia="Times New Roman" w:cs="Times New Roman"/>
        </w:rPr>
        <w:t>Ongoing</w:t>
      </w:r>
    </w:p>
    <w:p w14:paraId="4285671C"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3C3C27" w:rsidRPr="00BA6536">
        <w:rPr>
          <w:rFonts w:eastAsia="Times New Roman" w:cs="Times New Roman"/>
        </w:rPr>
        <w:t>General Fund</w:t>
      </w:r>
    </w:p>
    <w:p w14:paraId="12D1686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3C3C27" w:rsidRPr="00BA6536">
        <w:rPr>
          <w:rFonts w:eastAsia="Times New Roman" w:cs="Times New Roman"/>
        </w:rPr>
        <w:t xml:space="preserve">Continue to offer free of charge informal consultation on all rehabilitation projects. </w:t>
      </w:r>
    </w:p>
    <w:p w14:paraId="069EF8FC" w14:textId="77777777" w:rsidR="00E16F17" w:rsidRPr="00BA6536" w:rsidRDefault="00E16F17"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14:paraId="1BC28C8D" w14:textId="77777777" w:rsidR="0071753C" w:rsidRPr="00BA6536" w:rsidRDefault="002E1FEA" w:rsidP="003D5E81">
      <w:pPr>
        <w:pStyle w:val="Heading3"/>
      </w:pPr>
      <w:bookmarkStart w:id="415" w:name="_Toc383700182"/>
      <w:r>
        <w:t xml:space="preserve">e. </w:t>
      </w:r>
      <w:r w:rsidR="0071753C" w:rsidRPr="00BA6536">
        <w:t>EQUAL HOUSING OPPORTUNITIES</w:t>
      </w:r>
      <w:bookmarkEnd w:id="415"/>
    </w:p>
    <w:p w14:paraId="1196CF1F" w14:textId="77777777" w:rsidR="0071753C" w:rsidRPr="00BA6536" w:rsidRDefault="0071753C" w:rsidP="0071753C">
      <w:pPr>
        <w:spacing w:before="120" w:line="280" w:lineRule="atLeast"/>
        <w:ind w:left="1080" w:hanging="1080"/>
        <w:jc w:val="both"/>
      </w:pPr>
      <w:r w:rsidRPr="00BA6536">
        <w:t>Goal</w:t>
      </w:r>
      <w:r w:rsidRPr="00BA6536">
        <w:tab/>
        <w:t>Promote equal housing opportunities for all persons.</w:t>
      </w:r>
    </w:p>
    <w:p w14:paraId="6194A031"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1</w:t>
      </w:r>
      <w:r w:rsidRPr="00BA6536">
        <w:rPr>
          <w:rFonts w:asciiTheme="minorHAnsi" w:hAnsiTheme="minorHAnsi"/>
          <w:sz w:val="22"/>
          <w:szCs w:val="22"/>
        </w:rPr>
        <w:tab/>
        <w:t>Ensure that information on fair housing laws is easily available.</w:t>
      </w:r>
    </w:p>
    <w:p w14:paraId="1DD26007"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p>
    <w:p w14:paraId="2ABAB96C"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2</w:t>
      </w:r>
      <w:r w:rsidRPr="00BA6536">
        <w:rPr>
          <w:rFonts w:asciiTheme="minorHAnsi" w:hAnsiTheme="minorHAnsi"/>
          <w:sz w:val="22"/>
          <w:szCs w:val="22"/>
        </w:rPr>
        <w:tab/>
        <w:t>Ensure that complaints about housing discrimination are addressed promptly and appropriately.</w:t>
      </w:r>
    </w:p>
    <w:p w14:paraId="586825A5" w14:textId="77777777" w:rsidR="0071753C" w:rsidRPr="00BA6536" w:rsidRDefault="0071753C"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14:paraId="2E791ABC" w14:textId="77777777" w:rsidR="00397751" w:rsidRPr="00BA6536" w:rsidRDefault="00022FE4" w:rsidP="00397751">
      <w:pPr>
        <w:spacing w:after="0" w:line="280" w:lineRule="atLeast"/>
        <w:ind w:left="1080" w:hanging="1080"/>
        <w:jc w:val="both"/>
        <w:rPr>
          <w:rFonts w:eastAsia="Times New Roman" w:cs="Times New Roman"/>
          <w:b/>
        </w:rPr>
      </w:pPr>
      <w:r>
        <w:rPr>
          <w:rFonts w:eastAsia="Times New Roman" w:cs="Times New Roman"/>
          <w:b/>
        </w:rPr>
        <w:t>Program 5:1</w:t>
      </w:r>
      <w:r w:rsidR="00397751" w:rsidRPr="00BA6536">
        <w:rPr>
          <w:rFonts w:eastAsia="Times New Roman" w:cs="Times New Roman"/>
          <w:b/>
        </w:rPr>
        <w:tab/>
        <w:t>Disseminate and maintain fair housing information and education materials throughout the County and ensure public awareness of fair housing laws and processes. Materials will be distributed in a variety of public locations including government cente</w:t>
      </w:r>
      <w:r w:rsidR="009D63B3" w:rsidRPr="00BA6536">
        <w:rPr>
          <w:rFonts w:eastAsia="Times New Roman" w:cs="Times New Roman"/>
          <w:b/>
        </w:rPr>
        <w:t>rs, libraries, post offices,</w:t>
      </w:r>
      <w:r w:rsidR="00397751" w:rsidRPr="00BA6536">
        <w:rPr>
          <w:rFonts w:eastAsia="Times New Roman" w:cs="Times New Roman"/>
          <w:b/>
        </w:rPr>
        <w:t xml:space="preserve"> shopping areas</w:t>
      </w:r>
      <w:r w:rsidR="009D63B3" w:rsidRPr="00BA6536">
        <w:rPr>
          <w:rFonts w:eastAsia="Times New Roman" w:cs="Times New Roman"/>
          <w:b/>
        </w:rPr>
        <w:t xml:space="preserve"> and web-sites</w:t>
      </w:r>
      <w:r w:rsidR="00397751" w:rsidRPr="00BA6536">
        <w:rPr>
          <w:rFonts w:eastAsia="Times New Roman" w:cs="Times New Roman"/>
          <w:b/>
        </w:rPr>
        <w:t>.</w:t>
      </w:r>
    </w:p>
    <w:p w14:paraId="7703786F"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E119C" w:rsidRPr="00BA6536">
        <w:rPr>
          <w:rFonts w:eastAsia="Times New Roman" w:cs="Times New Roman"/>
        </w:rPr>
        <w:t>CDD</w:t>
      </w:r>
    </w:p>
    <w:p w14:paraId="5B3027DE"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3C3C27" w:rsidRPr="00BA6536">
        <w:rPr>
          <w:rFonts w:eastAsia="Times New Roman" w:cs="Times New Roman"/>
        </w:rPr>
        <w:t>Ongoing</w:t>
      </w:r>
    </w:p>
    <w:p w14:paraId="61765F1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3C3C27" w:rsidRPr="00BA6536">
        <w:rPr>
          <w:rFonts w:eastAsia="Times New Roman" w:cs="Times New Roman"/>
        </w:rPr>
        <w:t>General Fund</w:t>
      </w:r>
    </w:p>
    <w:p w14:paraId="1529ECD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3C3C27" w:rsidRPr="00BA6536">
        <w:rPr>
          <w:rFonts w:eastAsia="Times New Roman" w:cs="Times New Roman"/>
        </w:rPr>
        <w:t>Continue to provide information on web-site, at permit counter, and distribute information at RPACs.</w:t>
      </w:r>
    </w:p>
    <w:p w14:paraId="046FA989" w14:textId="77777777" w:rsidR="00397751" w:rsidRPr="00BA6536" w:rsidRDefault="00397751" w:rsidP="00397751">
      <w:pPr>
        <w:spacing w:after="0" w:line="280" w:lineRule="atLeast"/>
        <w:ind w:left="1260" w:hanging="1260"/>
        <w:jc w:val="both"/>
        <w:rPr>
          <w:rFonts w:eastAsia="Times New Roman" w:cs="Times New Roman"/>
          <w:b/>
        </w:rPr>
      </w:pPr>
    </w:p>
    <w:p w14:paraId="4AC78D70" w14:textId="36236320" w:rsidR="00397751" w:rsidRPr="00561068" w:rsidRDefault="00022FE4" w:rsidP="00397751">
      <w:pPr>
        <w:spacing w:after="0" w:line="280" w:lineRule="atLeast"/>
        <w:ind w:left="1260" w:hanging="1260"/>
        <w:jc w:val="both"/>
        <w:rPr>
          <w:rFonts w:eastAsia="Times New Roman" w:cs="Times New Roman"/>
          <w:b/>
          <w:strike/>
        </w:rPr>
      </w:pPr>
      <w:r>
        <w:rPr>
          <w:rFonts w:eastAsia="Times New Roman" w:cs="Times New Roman"/>
          <w:b/>
        </w:rPr>
        <w:t>Program 5:2</w:t>
      </w:r>
      <w:r w:rsidR="00397751" w:rsidRPr="00BA6536">
        <w:rPr>
          <w:rFonts w:eastAsia="Times New Roman" w:cs="Times New Roman"/>
          <w:b/>
        </w:rPr>
        <w:tab/>
        <w:t xml:space="preserve">Refer persons with complaints of housing discrimination to appropriate </w:t>
      </w:r>
      <w:r w:rsidR="00561068" w:rsidRPr="00776763">
        <w:rPr>
          <w:rFonts w:eastAsia="Times New Roman" w:cs="Times New Roman"/>
          <w:b/>
        </w:rPr>
        <w:t xml:space="preserve">online resources including information/links hosted on the Housing Authority web-site. </w:t>
      </w:r>
    </w:p>
    <w:p w14:paraId="6489E30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9D63B3" w:rsidRPr="00BA6536">
        <w:rPr>
          <w:rFonts w:eastAsia="Times New Roman" w:cs="Times New Roman"/>
        </w:rPr>
        <w:t>CDD</w:t>
      </w:r>
    </w:p>
    <w:p w14:paraId="18D70EC9"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D63B3" w:rsidRPr="00BA6536">
        <w:rPr>
          <w:rFonts w:eastAsia="Times New Roman" w:cs="Times New Roman"/>
        </w:rPr>
        <w:t>Ongoing</w:t>
      </w:r>
    </w:p>
    <w:p w14:paraId="0D5EF1F1"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D63B3" w:rsidRPr="00BA6536">
        <w:rPr>
          <w:rFonts w:eastAsia="Times New Roman" w:cs="Times New Roman"/>
        </w:rPr>
        <w:t>General Fund</w:t>
      </w:r>
    </w:p>
    <w:p w14:paraId="0E745184" w14:textId="77777777" w:rsidR="00E16F17" w:rsidRPr="00BA6536" w:rsidRDefault="00E16F17" w:rsidP="009D63B3">
      <w:pPr>
        <w:spacing w:after="0" w:line="280" w:lineRule="atLeast"/>
        <w:ind w:left="810" w:hanging="810"/>
        <w:jc w:val="both"/>
        <w:rPr>
          <w:rFonts w:eastAsia="Times New Roman" w:cs="Times New Roman"/>
        </w:rPr>
      </w:pPr>
      <w:r w:rsidRPr="00BA6536">
        <w:rPr>
          <w:rFonts w:eastAsia="Times New Roman" w:cs="Times New Roman"/>
        </w:rPr>
        <w:t xml:space="preserve">Actions: </w:t>
      </w:r>
      <w:r w:rsidR="009D63B3" w:rsidRPr="00BA6536">
        <w:rPr>
          <w:rFonts w:eastAsia="Times New Roman" w:cs="Times New Roman"/>
        </w:rPr>
        <w:t xml:space="preserve">Utilizing regular county department head management meetings, ensure all departments that interact with general public know policy for routing housing discrimination complaints. </w:t>
      </w:r>
    </w:p>
    <w:p w14:paraId="1F67F9D1" w14:textId="77777777" w:rsidR="0071753C" w:rsidRPr="00BA6536" w:rsidRDefault="0071753C"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14:paraId="72E777A0" w14:textId="77777777" w:rsidR="0071753C" w:rsidRPr="00BA6536" w:rsidRDefault="002E1FEA" w:rsidP="003D5E81">
      <w:pPr>
        <w:pStyle w:val="Heading3"/>
      </w:pPr>
      <w:bookmarkStart w:id="416" w:name="_Toc383700183"/>
      <w:r>
        <w:t xml:space="preserve">f. </w:t>
      </w:r>
      <w:r w:rsidR="0071753C" w:rsidRPr="00BA6536">
        <w:t>PRESERVING UNITS AT RISK OF CONVERSION TO MARKET RATE USES</w:t>
      </w:r>
      <w:bookmarkEnd w:id="416"/>
    </w:p>
    <w:p w14:paraId="34E537E0" w14:textId="77777777" w:rsidR="0071753C" w:rsidRPr="00BA6536" w:rsidRDefault="0071753C" w:rsidP="0071753C">
      <w:pPr>
        <w:pStyle w:val="BodyText"/>
        <w:spacing w:before="120" w:after="0" w:line="280" w:lineRule="atLeast"/>
        <w:ind w:left="1080" w:hanging="1080"/>
        <w:jc w:val="both"/>
        <w:rPr>
          <w:rFonts w:asciiTheme="minorHAnsi" w:hAnsiTheme="minorHAnsi"/>
          <w:sz w:val="22"/>
          <w:szCs w:val="22"/>
        </w:rPr>
      </w:pPr>
      <w:r w:rsidRPr="00BA6536">
        <w:rPr>
          <w:rFonts w:asciiTheme="minorHAnsi" w:hAnsiTheme="minorHAnsi"/>
          <w:sz w:val="22"/>
          <w:szCs w:val="22"/>
        </w:rPr>
        <w:t>Goal</w:t>
      </w:r>
      <w:r w:rsidRPr="00BA6536">
        <w:rPr>
          <w:rFonts w:asciiTheme="minorHAnsi" w:hAnsiTheme="minorHAnsi"/>
          <w:sz w:val="22"/>
          <w:szCs w:val="22"/>
        </w:rPr>
        <w:tab/>
        <w:t>Preserve development reserved for low-income and/or employee housing uses at risk of conversion to market rates.</w:t>
      </w:r>
    </w:p>
    <w:p w14:paraId="589D64DD"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p>
    <w:p w14:paraId="29335FFB"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1</w:t>
      </w:r>
      <w:r w:rsidRPr="00BA6536">
        <w:rPr>
          <w:rFonts w:asciiTheme="minorHAnsi" w:hAnsiTheme="minorHAnsi"/>
          <w:sz w:val="22"/>
          <w:szCs w:val="22"/>
        </w:rPr>
        <w:tab/>
        <w:t>Ensure that units designated for low-income and/or employee housing uses remain restricted to those uses.</w:t>
      </w:r>
    </w:p>
    <w:p w14:paraId="32F5F707"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p>
    <w:p w14:paraId="21128F07"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r w:rsidRPr="00BA6536">
        <w:rPr>
          <w:rFonts w:asciiTheme="minorHAnsi" w:hAnsiTheme="minorHAnsi"/>
          <w:sz w:val="22"/>
          <w:szCs w:val="22"/>
        </w:rPr>
        <w:t>Policy 2</w:t>
      </w:r>
      <w:r w:rsidRPr="00BA6536">
        <w:rPr>
          <w:rFonts w:asciiTheme="minorHAnsi" w:hAnsiTheme="minorHAnsi"/>
          <w:sz w:val="22"/>
          <w:szCs w:val="22"/>
        </w:rPr>
        <w:tab/>
        <w:t xml:space="preserve">Ensure that units generally considered affordable (i.e., mobile homes) remain as residential uses. </w:t>
      </w:r>
    </w:p>
    <w:p w14:paraId="6005BDF5" w14:textId="77777777" w:rsidR="0071753C" w:rsidRPr="00BA6536" w:rsidRDefault="0071753C" w:rsidP="0071753C">
      <w:pPr>
        <w:pStyle w:val="BodyText"/>
        <w:spacing w:after="0" w:line="280" w:lineRule="atLeast"/>
        <w:ind w:left="1080" w:hanging="1080"/>
        <w:jc w:val="both"/>
        <w:rPr>
          <w:rFonts w:asciiTheme="minorHAnsi" w:hAnsiTheme="minorHAnsi"/>
          <w:sz w:val="22"/>
          <w:szCs w:val="22"/>
        </w:rPr>
      </w:pPr>
    </w:p>
    <w:p w14:paraId="5755459B" w14:textId="77777777" w:rsidR="0071753C" w:rsidRPr="00BA6536" w:rsidRDefault="0071753C" w:rsidP="0071753C">
      <w:pPr>
        <w:pStyle w:val="BodyText"/>
        <w:spacing w:after="0" w:line="280" w:lineRule="atLeast"/>
        <w:ind w:left="1080" w:hanging="1080"/>
        <w:jc w:val="both"/>
        <w:rPr>
          <w:rFonts w:asciiTheme="minorHAnsi" w:hAnsiTheme="minorHAnsi"/>
          <w:i/>
          <w:sz w:val="22"/>
          <w:szCs w:val="22"/>
        </w:rPr>
      </w:pPr>
      <w:r w:rsidRPr="00BA6536">
        <w:rPr>
          <w:rFonts w:asciiTheme="minorHAnsi" w:hAnsiTheme="minorHAnsi"/>
          <w:sz w:val="22"/>
          <w:szCs w:val="22"/>
        </w:rPr>
        <w:t>Policy 3</w:t>
      </w:r>
      <w:r w:rsidRPr="00BA6536">
        <w:rPr>
          <w:rFonts w:asciiTheme="minorHAnsi" w:hAnsiTheme="minorHAnsi"/>
          <w:sz w:val="22"/>
          <w:szCs w:val="22"/>
        </w:rPr>
        <w:tab/>
        <w:t>Ensure that units participating in state or federal rental assistance or subsidy programs remain in those programs to retain affordability</w:t>
      </w:r>
      <w:r w:rsidRPr="00BA6536">
        <w:rPr>
          <w:rFonts w:asciiTheme="minorHAnsi" w:hAnsiTheme="minorHAnsi"/>
          <w:i/>
          <w:sz w:val="22"/>
          <w:szCs w:val="22"/>
        </w:rPr>
        <w:t>.</w:t>
      </w:r>
    </w:p>
    <w:p w14:paraId="7D5C30D5" w14:textId="77777777" w:rsidR="0071753C" w:rsidRPr="00BA6536" w:rsidRDefault="0071753C" w:rsidP="0071753C">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14:paraId="54CA604D" w14:textId="77777777" w:rsidR="00397751" w:rsidRPr="00BA6536" w:rsidRDefault="00022FE4" w:rsidP="00397751">
      <w:pPr>
        <w:spacing w:after="0" w:line="280" w:lineRule="atLeast"/>
        <w:ind w:left="1267" w:hanging="1267"/>
        <w:jc w:val="both"/>
        <w:rPr>
          <w:rFonts w:eastAsia="Times New Roman" w:cs="Times New Roman"/>
          <w:b/>
        </w:rPr>
      </w:pPr>
      <w:r>
        <w:rPr>
          <w:rFonts w:eastAsia="Times New Roman" w:cs="Times New Roman"/>
          <w:b/>
        </w:rPr>
        <w:t>Program 6:1</w:t>
      </w:r>
      <w:r w:rsidR="00397751" w:rsidRPr="00BA6536">
        <w:rPr>
          <w:rFonts w:eastAsia="Times New Roman" w:cs="Times New Roman"/>
          <w:b/>
        </w:rPr>
        <w:tab/>
        <w:t>Legally restrict units intended for low-income and/or employee housing uses to those uses, report on legal status/policies of agency owned housing units.</w:t>
      </w:r>
    </w:p>
    <w:p w14:paraId="72DD4CCD"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A43324" w:rsidRPr="00BA6536">
        <w:rPr>
          <w:rFonts w:eastAsia="Times New Roman" w:cs="Times New Roman"/>
        </w:rPr>
        <w:t>BOS, State/Federal Agencies/CDD</w:t>
      </w:r>
    </w:p>
    <w:p w14:paraId="2ED844B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A43324" w:rsidRPr="00BA6536">
        <w:rPr>
          <w:rFonts w:eastAsia="Times New Roman" w:cs="Times New Roman"/>
        </w:rPr>
        <w:t>Ongoing</w:t>
      </w:r>
    </w:p>
    <w:p w14:paraId="39D0FE37"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D63B3" w:rsidRPr="00BA6536">
        <w:rPr>
          <w:rFonts w:eastAsia="Times New Roman" w:cs="Times New Roman"/>
        </w:rPr>
        <w:t>General Funds</w:t>
      </w:r>
    </w:p>
    <w:p w14:paraId="21B566BD" w14:textId="77777777" w:rsidR="00E16F17" w:rsidRPr="00BA6536" w:rsidRDefault="00E16F17" w:rsidP="009D63B3">
      <w:pPr>
        <w:spacing w:after="0" w:line="280" w:lineRule="atLeast"/>
        <w:ind w:left="810" w:hanging="810"/>
        <w:jc w:val="both"/>
        <w:rPr>
          <w:rFonts w:eastAsia="Times New Roman" w:cs="Times New Roman"/>
        </w:rPr>
      </w:pPr>
      <w:r w:rsidRPr="00BA6536">
        <w:rPr>
          <w:rFonts w:eastAsia="Times New Roman" w:cs="Times New Roman"/>
        </w:rPr>
        <w:t xml:space="preserve">Actions: </w:t>
      </w:r>
      <w:r w:rsidR="009D63B3" w:rsidRPr="00BA6536">
        <w:rPr>
          <w:rFonts w:eastAsia="Times New Roman" w:cs="Times New Roman"/>
        </w:rPr>
        <w:t xml:space="preserve">Through the CPT land tenure subcommittee tasks of program 2,2 include the rental policy status of all agency housing in the agency housing inventory. </w:t>
      </w:r>
    </w:p>
    <w:p w14:paraId="47332392" w14:textId="77777777" w:rsidR="00397751" w:rsidRPr="00BA6536" w:rsidRDefault="00397751" w:rsidP="00397751">
      <w:pPr>
        <w:spacing w:after="0" w:line="280" w:lineRule="atLeast"/>
        <w:ind w:left="1260" w:hanging="1260"/>
        <w:jc w:val="both"/>
        <w:rPr>
          <w:rFonts w:eastAsia="Times New Roman" w:cs="Times New Roman"/>
          <w:b/>
        </w:rPr>
      </w:pPr>
    </w:p>
    <w:p w14:paraId="0FE879C0" w14:textId="77777777" w:rsidR="00397751" w:rsidRPr="00BA6536" w:rsidRDefault="00022FE4" w:rsidP="00397751">
      <w:pPr>
        <w:spacing w:after="0" w:line="280" w:lineRule="atLeast"/>
        <w:ind w:left="1260" w:hanging="1260"/>
        <w:jc w:val="both"/>
        <w:rPr>
          <w:rFonts w:eastAsia="Times New Roman" w:cs="Times New Roman"/>
          <w:b/>
        </w:rPr>
      </w:pPr>
      <w:r>
        <w:rPr>
          <w:rFonts w:eastAsia="Times New Roman" w:cs="Times New Roman"/>
          <w:b/>
        </w:rPr>
        <w:t>Program 6:2</w:t>
      </w:r>
      <w:r w:rsidR="00397751" w:rsidRPr="00BA6536">
        <w:rPr>
          <w:rFonts w:eastAsia="Times New Roman" w:cs="Times New Roman"/>
          <w:b/>
        </w:rPr>
        <w:tab/>
        <w:t>Continue to enforce regulations in the Mono County General Plan concerning the conversion of residential facilities or mobile-home spaces in a mobile-home park to other uses.</w:t>
      </w:r>
    </w:p>
    <w:p w14:paraId="649368D4"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CF2CCB" w:rsidRPr="00BA6536">
        <w:rPr>
          <w:rFonts w:eastAsia="Times New Roman" w:cs="Times New Roman"/>
        </w:rPr>
        <w:t>CDD</w:t>
      </w:r>
    </w:p>
    <w:p w14:paraId="0629820F"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CF2CCB" w:rsidRPr="00BA6536">
        <w:rPr>
          <w:rFonts w:eastAsia="Times New Roman" w:cs="Times New Roman"/>
        </w:rPr>
        <w:t>Ongoing</w:t>
      </w:r>
    </w:p>
    <w:p w14:paraId="016F224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CF2CCB" w:rsidRPr="00BA6536">
        <w:rPr>
          <w:rFonts w:eastAsia="Times New Roman" w:cs="Times New Roman"/>
        </w:rPr>
        <w:t>General Fund</w:t>
      </w:r>
    </w:p>
    <w:p w14:paraId="1F832423"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604D5" w:rsidRPr="00BA6536">
        <w:rPr>
          <w:rFonts w:eastAsia="Times New Roman" w:cs="Times New Roman"/>
        </w:rPr>
        <w:t xml:space="preserve">Implement as development occurs. </w:t>
      </w:r>
    </w:p>
    <w:p w14:paraId="050E0F7D" w14:textId="77777777" w:rsidR="00397751" w:rsidRPr="00BA6536" w:rsidRDefault="00397751" w:rsidP="00397751">
      <w:pPr>
        <w:spacing w:after="0" w:line="280" w:lineRule="atLeast"/>
        <w:ind w:left="1260" w:hanging="1260"/>
        <w:jc w:val="both"/>
        <w:rPr>
          <w:rFonts w:eastAsia="Times New Roman" w:cs="Times New Roman"/>
          <w:b/>
        </w:rPr>
      </w:pPr>
    </w:p>
    <w:p w14:paraId="0774D2F1" w14:textId="77777777" w:rsidR="00397751" w:rsidRPr="00BA6536" w:rsidRDefault="00022FE4" w:rsidP="00397751">
      <w:pPr>
        <w:spacing w:after="0" w:line="280" w:lineRule="atLeast"/>
        <w:ind w:left="1260" w:hanging="1260"/>
        <w:jc w:val="both"/>
        <w:rPr>
          <w:rFonts w:eastAsia="Times New Roman" w:cs="Times New Roman"/>
          <w:b/>
        </w:rPr>
      </w:pPr>
      <w:r>
        <w:rPr>
          <w:rFonts w:eastAsia="Times New Roman" w:cs="Times New Roman"/>
          <w:b/>
        </w:rPr>
        <w:t>Program 6:3</w:t>
      </w:r>
      <w:r w:rsidR="00397751" w:rsidRPr="00BA6536">
        <w:rPr>
          <w:rFonts w:eastAsia="Times New Roman" w:cs="Times New Roman"/>
          <w:b/>
        </w:rPr>
        <w:tab/>
        <w:t>Provide incentives for property owners to participate in state or federally funded rental assistance or subsidy programs. These incentives may include fee reductions, administrative (grant) assistance, and streamlined permit processing for rehabilitations.</w:t>
      </w:r>
    </w:p>
    <w:p w14:paraId="27CD1CF0"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Responsible Agencies: </w:t>
      </w:r>
      <w:r w:rsidR="009D63B3" w:rsidRPr="00BA6536">
        <w:rPr>
          <w:rFonts w:eastAsia="Times New Roman" w:cs="Times New Roman"/>
        </w:rPr>
        <w:t>BOS, CDD</w:t>
      </w:r>
    </w:p>
    <w:p w14:paraId="02DBF9EC"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Timeframe: </w:t>
      </w:r>
      <w:r w:rsidR="009D63B3" w:rsidRPr="00BA6536">
        <w:rPr>
          <w:rFonts w:eastAsia="Times New Roman" w:cs="Times New Roman"/>
        </w:rPr>
        <w:t>Ongoing</w:t>
      </w:r>
    </w:p>
    <w:p w14:paraId="4C0F7C95"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Funding: </w:t>
      </w:r>
      <w:r w:rsidR="009D63B3" w:rsidRPr="00BA6536">
        <w:rPr>
          <w:rFonts w:eastAsia="Times New Roman" w:cs="Times New Roman"/>
        </w:rPr>
        <w:t>General Fund</w:t>
      </w:r>
    </w:p>
    <w:p w14:paraId="092B37EA" w14:textId="77777777" w:rsidR="00E16F17" w:rsidRPr="00BA6536" w:rsidRDefault="00E16F17" w:rsidP="00E16F17">
      <w:pPr>
        <w:spacing w:after="0" w:line="280" w:lineRule="atLeast"/>
        <w:ind w:left="1260" w:hanging="1260"/>
        <w:jc w:val="both"/>
        <w:rPr>
          <w:rFonts w:eastAsia="Times New Roman" w:cs="Times New Roman"/>
        </w:rPr>
      </w:pPr>
      <w:r w:rsidRPr="00BA6536">
        <w:rPr>
          <w:rFonts w:eastAsia="Times New Roman" w:cs="Times New Roman"/>
        </w:rPr>
        <w:t xml:space="preserve">Actions: </w:t>
      </w:r>
      <w:r w:rsidR="007604D5" w:rsidRPr="00BA6536">
        <w:rPr>
          <w:rFonts w:eastAsia="Times New Roman" w:cs="Times New Roman"/>
        </w:rPr>
        <w:t xml:space="preserve">Continue to streamline permits </w:t>
      </w:r>
    </w:p>
    <w:p w14:paraId="5A0CBB49" w14:textId="77777777" w:rsidR="00E65DA7" w:rsidRDefault="00E65DA7" w:rsidP="00355230">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p w14:paraId="3579D0F6" w14:textId="77777777" w:rsidR="00D72B24" w:rsidRPr="00BA6536" w:rsidRDefault="00D72B24" w:rsidP="00D72B24">
      <w:pPr>
        <w:spacing w:after="0" w:line="280" w:lineRule="atLeast"/>
        <w:ind w:left="1260" w:hanging="1260"/>
        <w:jc w:val="both"/>
        <w:rPr>
          <w:rFonts w:eastAsia="Times New Roman" w:cs="Times New Roman"/>
          <w:b/>
        </w:rPr>
      </w:pPr>
      <w:r>
        <w:rPr>
          <w:rFonts w:eastAsia="Times New Roman" w:cs="Times New Roman"/>
          <w:b/>
        </w:rPr>
        <w:t>Program 6:4</w:t>
      </w:r>
      <w:r w:rsidRPr="00BA6536">
        <w:rPr>
          <w:rFonts w:eastAsia="Times New Roman" w:cs="Times New Roman"/>
          <w:b/>
        </w:rPr>
        <w:tab/>
      </w:r>
      <w:r>
        <w:rPr>
          <w:rFonts w:eastAsia="Times New Roman" w:cs="Times New Roman"/>
          <w:b/>
        </w:rPr>
        <w:t xml:space="preserve">Monitor the conversion of permanent housing or long term rental housing into transient rentals, particularly within the Transient Rental Overlay Districts. </w:t>
      </w:r>
    </w:p>
    <w:p w14:paraId="1D52475C" w14:textId="77777777" w:rsidR="00D72B24" w:rsidRPr="00BA6536" w:rsidRDefault="00D72B24" w:rsidP="00D72B24">
      <w:pPr>
        <w:spacing w:after="0" w:line="280" w:lineRule="atLeast"/>
        <w:ind w:left="1260" w:hanging="1260"/>
        <w:jc w:val="both"/>
        <w:rPr>
          <w:rFonts w:eastAsia="Times New Roman" w:cs="Times New Roman"/>
        </w:rPr>
      </w:pPr>
      <w:r>
        <w:rPr>
          <w:rFonts w:eastAsia="Times New Roman" w:cs="Times New Roman"/>
        </w:rPr>
        <w:t>Responsible Agencies:</w:t>
      </w:r>
      <w:r w:rsidR="00A32DF5">
        <w:rPr>
          <w:rFonts w:eastAsia="Times New Roman" w:cs="Times New Roman"/>
        </w:rPr>
        <w:t xml:space="preserve"> </w:t>
      </w:r>
      <w:r w:rsidRPr="00BA6536">
        <w:rPr>
          <w:rFonts w:eastAsia="Times New Roman" w:cs="Times New Roman"/>
        </w:rPr>
        <w:t>CDD</w:t>
      </w:r>
    </w:p>
    <w:p w14:paraId="78884DAA" w14:textId="77777777" w:rsidR="00D72B24" w:rsidRPr="00BA6536" w:rsidRDefault="00D72B24" w:rsidP="00D72B24">
      <w:pPr>
        <w:spacing w:after="0" w:line="280" w:lineRule="atLeast"/>
        <w:ind w:left="1260" w:hanging="1260"/>
        <w:jc w:val="both"/>
        <w:rPr>
          <w:rFonts w:eastAsia="Times New Roman" w:cs="Times New Roman"/>
        </w:rPr>
      </w:pPr>
      <w:r w:rsidRPr="00BA6536">
        <w:rPr>
          <w:rFonts w:eastAsia="Times New Roman" w:cs="Times New Roman"/>
        </w:rPr>
        <w:t>Timeframe: Ongoing</w:t>
      </w:r>
    </w:p>
    <w:p w14:paraId="20186A45" w14:textId="77777777" w:rsidR="00D72B24" w:rsidRPr="00BA6536" w:rsidRDefault="00D72B24" w:rsidP="00D72B24">
      <w:pPr>
        <w:spacing w:after="0" w:line="280" w:lineRule="atLeast"/>
        <w:ind w:left="1260" w:hanging="1260"/>
        <w:jc w:val="both"/>
        <w:rPr>
          <w:rFonts w:eastAsia="Times New Roman" w:cs="Times New Roman"/>
        </w:rPr>
      </w:pPr>
      <w:r w:rsidRPr="00BA6536">
        <w:rPr>
          <w:rFonts w:eastAsia="Times New Roman" w:cs="Times New Roman"/>
        </w:rPr>
        <w:t>Funding: General Fund</w:t>
      </w:r>
      <w:r w:rsidR="00CC29E8">
        <w:rPr>
          <w:rFonts w:eastAsia="Times New Roman" w:cs="Times New Roman"/>
        </w:rPr>
        <w:t>, Application Fees</w:t>
      </w:r>
    </w:p>
    <w:p w14:paraId="63B1A81D" w14:textId="77777777" w:rsidR="00D72B24" w:rsidRPr="00BA6536" w:rsidRDefault="00D72B24" w:rsidP="00D72B24">
      <w:pPr>
        <w:spacing w:after="0" w:line="280" w:lineRule="atLeast"/>
        <w:ind w:left="1260" w:hanging="1260"/>
        <w:jc w:val="both"/>
        <w:rPr>
          <w:rFonts w:eastAsia="Times New Roman" w:cs="Times New Roman"/>
        </w:rPr>
      </w:pPr>
      <w:r w:rsidRPr="00BA6536">
        <w:rPr>
          <w:rFonts w:eastAsia="Times New Roman" w:cs="Times New Roman"/>
        </w:rPr>
        <w:t xml:space="preserve">Actions: </w:t>
      </w:r>
      <w:r>
        <w:rPr>
          <w:rFonts w:eastAsia="Times New Roman" w:cs="Times New Roman"/>
        </w:rPr>
        <w:t xml:space="preserve">Adjust application process and follow-up mitigation monitoring process to account for housing tenure of units. </w:t>
      </w:r>
    </w:p>
    <w:p w14:paraId="318B5294" w14:textId="77777777" w:rsidR="00D72B24" w:rsidRPr="005E6918" w:rsidRDefault="00D72B24" w:rsidP="00355230">
      <w:pPr>
        <w:tabs>
          <w:tab w:val="left" w:pos="2160"/>
          <w:tab w:val="left" w:pos="2880"/>
          <w:tab w:val="left" w:pos="3600"/>
          <w:tab w:val="left" w:pos="4320"/>
          <w:tab w:val="left" w:pos="5040"/>
          <w:tab w:val="left" w:pos="5760"/>
          <w:tab w:val="left" w:pos="6480"/>
          <w:tab w:val="left" w:pos="7200"/>
          <w:tab w:val="left" w:pos="7920"/>
        </w:tabs>
        <w:spacing w:after="0" w:line="280" w:lineRule="atLeast"/>
        <w:rPr>
          <w:rFonts w:eastAsia="Times New Roman" w:cs="Times New Roman"/>
        </w:rPr>
      </w:pPr>
    </w:p>
    <w:sectPr w:rsidR="00D72B24" w:rsidRPr="005E69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78CA1" w14:textId="77777777" w:rsidR="00E7523C" w:rsidRDefault="00E7523C">
      <w:pPr>
        <w:spacing w:after="0" w:line="240" w:lineRule="auto"/>
      </w:pPr>
      <w:r>
        <w:separator/>
      </w:r>
    </w:p>
  </w:endnote>
  <w:endnote w:type="continuationSeparator" w:id="0">
    <w:p w14:paraId="69A6CADB" w14:textId="77777777" w:rsidR="00E7523C" w:rsidRDefault="00E7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Narrow">
    <w:altName w:val="Arial Narrow"/>
    <w:panose1 w:val="00000000000000000000"/>
    <w:charset w:val="4D"/>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1EAB1" w14:textId="77777777" w:rsidR="00E7523C" w:rsidRDefault="00E7523C">
      <w:pPr>
        <w:spacing w:after="0" w:line="240" w:lineRule="auto"/>
      </w:pPr>
      <w:r>
        <w:separator/>
      </w:r>
    </w:p>
  </w:footnote>
  <w:footnote w:type="continuationSeparator" w:id="0">
    <w:p w14:paraId="03F30891" w14:textId="77777777" w:rsidR="00E7523C" w:rsidRDefault="00E75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533844"/>
      <w:docPartObj>
        <w:docPartGallery w:val="Page Numbers (Top of Page)"/>
        <w:docPartUnique/>
      </w:docPartObj>
    </w:sdtPr>
    <w:sdtEndPr>
      <w:rPr>
        <w:noProof/>
      </w:rPr>
    </w:sdtEndPr>
    <w:sdtContent>
      <w:p w14:paraId="0485EB88" w14:textId="77777777" w:rsidR="001658E4" w:rsidRDefault="001658E4">
        <w:pPr>
          <w:pStyle w:val="Header"/>
          <w:jc w:val="right"/>
        </w:pPr>
        <w:r>
          <w:fldChar w:fldCharType="begin"/>
        </w:r>
        <w:r>
          <w:instrText xml:space="preserve"> PAGE   \* MERGEFORMAT </w:instrText>
        </w:r>
        <w:r>
          <w:fldChar w:fldCharType="separate"/>
        </w:r>
        <w:r w:rsidR="00776763">
          <w:rPr>
            <w:noProof/>
          </w:rPr>
          <w:t>18</w:t>
        </w:r>
        <w:r>
          <w:rPr>
            <w:noProof/>
          </w:rPr>
          <w:fldChar w:fldCharType="end"/>
        </w:r>
      </w:p>
    </w:sdtContent>
  </w:sdt>
  <w:p w14:paraId="20A97D40" w14:textId="77777777" w:rsidR="001658E4" w:rsidRDefault="001658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
    <w:nsid w:val="00000002"/>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2">
    <w:nsid w:val="00000003"/>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3">
    <w:nsid w:val="00000004"/>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4">
    <w:nsid w:val="00000005"/>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5">
    <w:nsid w:val="00000006"/>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6">
    <w:nsid w:val="00000007"/>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7">
    <w:nsid w:val="00000008"/>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8">
    <w:nsid w:val="00000009"/>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9">
    <w:nsid w:val="0000000A"/>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0">
    <w:nsid w:val="0000000B"/>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1">
    <w:nsid w:val="0000000C"/>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2">
    <w:nsid w:val="0000000D"/>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3">
    <w:nsid w:val="0000000E"/>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4">
    <w:nsid w:val="00000010"/>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5">
    <w:nsid w:val="00000011"/>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6">
    <w:nsid w:val="00000012"/>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7">
    <w:nsid w:val="00000013"/>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8">
    <w:nsid w:val="00000014"/>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9">
    <w:nsid w:val="00000017"/>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20">
    <w:nsid w:val="05C21E98"/>
    <w:multiLevelType w:val="multilevel"/>
    <w:tmpl w:val="D268673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06F4783D"/>
    <w:multiLevelType w:val="hybridMultilevel"/>
    <w:tmpl w:val="3C4CA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Zapf 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 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 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09C0601"/>
    <w:multiLevelType w:val="hybridMultilevel"/>
    <w:tmpl w:val="244CC500"/>
    <w:lvl w:ilvl="0" w:tplc="5A3AD19E">
      <w:start w:val="1"/>
      <w:numFmt w:val="bullet"/>
      <w:lvlText w:val=""/>
      <w:lvlJc w:val="left"/>
      <w:pPr>
        <w:tabs>
          <w:tab w:val="num" w:pos="1440"/>
        </w:tabs>
        <w:ind w:left="1440" w:hanging="360"/>
      </w:pPr>
      <w:rPr>
        <w:rFonts w:ascii="Zapf Dingbats" w:hAnsi="Zapf Dingbats"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457D7FE1"/>
    <w:multiLevelType w:val="hybridMultilevel"/>
    <w:tmpl w:val="234A4900"/>
    <w:lvl w:ilvl="0" w:tplc="5A3AD19E">
      <w:start w:val="1"/>
      <w:numFmt w:val="bullet"/>
      <w:lvlText w:val=""/>
      <w:lvlJc w:val="left"/>
      <w:pPr>
        <w:tabs>
          <w:tab w:val="num" w:pos="1440"/>
        </w:tabs>
        <w:ind w:left="1440" w:hanging="360"/>
      </w:pPr>
      <w:rPr>
        <w:rFonts w:ascii="Zapf Dingbats" w:hAnsi="Zapf Dingbats" w:hint="default"/>
        <w:sz w:val="20"/>
      </w:rPr>
    </w:lvl>
    <w:lvl w:ilvl="1" w:tplc="00000000">
      <w:start w:val="1"/>
      <w:numFmt w:val="bullet"/>
      <w:lvlText w:val=""/>
      <w:lvlJc w:val="left"/>
      <w:pPr>
        <w:tabs>
          <w:tab w:val="num" w:pos="1440"/>
        </w:tabs>
        <w:ind w:left="1440" w:hanging="360"/>
      </w:pPr>
      <w:rPr>
        <w:rFonts w:ascii="Symbol" w:hAnsi="Symbol" w:hint="default"/>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51E50160"/>
    <w:multiLevelType w:val="hybridMultilevel"/>
    <w:tmpl w:val="E806E68C"/>
    <w:lvl w:ilvl="0" w:tplc="00000000">
      <w:start w:val="1"/>
      <w:numFmt w:val="bullet"/>
      <w:lvlText w:val=""/>
      <w:lvlJc w:val="left"/>
      <w:pPr>
        <w:tabs>
          <w:tab w:val="num" w:pos="720"/>
        </w:tabs>
        <w:ind w:left="720" w:hanging="360"/>
      </w:pPr>
      <w:rPr>
        <w:rFonts w:ascii="Symbol" w:hAnsi="Symbol" w:hint="default"/>
        <w:sz w:val="28"/>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5">
    <w:nsid w:val="5A9D71FB"/>
    <w:multiLevelType w:val="hybridMultilevel"/>
    <w:tmpl w:val="9E68AB78"/>
    <w:lvl w:ilvl="0" w:tplc="5A3AD19E">
      <w:start w:val="1"/>
      <w:numFmt w:val="bullet"/>
      <w:lvlText w:val=""/>
      <w:lvlJc w:val="left"/>
      <w:pPr>
        <w:tabs>
          <w:tab w:val="num" w:pos="1440"/>
        </w:tabs>
        <w:ind w:left="1440" w:hanging="360"/>
      </w:pPr>
      <w:rPr>
        <w:rFonts w:ascii="Zapf Dingbats" w:hAnsi="Zapf Dingbats" w:hint="default"/>
        <w:b/>
        <w:sz w:val="20"/>
        <w:szCs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6AB61D87"/>
    <w:multiLevelType w:val="multilevel"/>
    <w:tmpl w:val="DDB28E4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Zapf Dingba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Zapf Dingbat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Zapf Dingbat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
  </w:num>
  <w:num w:numId="3">
    <w:abstractNumId w:val="2"/>
  </w:num>
  <w:num w:numId="4">
    <w:abstractNumId w:val="0"/>
  </w:num>
  <w:num w:numId="5">
    <w:abstractNumId w:val="3"/>
  </w:num>
  <w:num w:numId="6">
    <w:abstractNumId w:val="5"/>
  </w:num>
  <w:num w:numId="7">
    <w:abstractNumId w:val="4"/>
  </w:num>
  <w:num w:numId="8">
    <w:abstractNumId w:val="7"/>
  </w:num>
  <w:num w:numId="9">
    <w:abstractNumId w:val="6"/>
  </w:num>
  <w:num w:numId="10">
    <w:abstractNumId w:val="25"/>
  </w:num>
  <w:num w:numId="11">
    <w:abstractNumId w:val="22"/>
  </w:num>
  <w:num w:numId="12">
    <w:abstractNumId w:val="23"/>
  </w:num>
  <w:num w:numId="13">
    <w:abstractNumId w:val="26"/>
  </w:num>
  <w:num w:numId="14">
    <w:abstractNumId w:val="16"/>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7"/>
  </w:num>
  <w:num w:numId="24">
    <w:abstractNumId w:val="18"/>
  </w:num>
  <w:num w:numId="25">
    <w:abstractNumId w:val="19"/>
  </w:num>
  <w:num w:numId="26">
    <w:abstractNumId w:val="2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DA7"/>
    <w:rsid w:val="000064BC"/>
    <w:rsid w:val="00022FE4"/>
    <w:rsid w:val="000758AC"/>
    <w:rsid w:val="00077980"/>
    <w:rsid w:val="000A177D"/>
    <w:rsid w:val="000A2454"/>
    <w:rsid w:val="000A3315"/>
    <w:rsid w:val="000A5A18"/>
    <w:rsid w:val="000C0437"/>
    <w:rsid w:val="000C5797"/>
    <w:rsid w:val="000D641B"/>
    <w:rsid w:val="000D6A72"/>
    <w:rsid w:val="000E141D"/>
    <w:rsid w:val="000F20E2"/>
    <w:rsid w:val="001034A5"/>
    <w:rsid w:val="0010655D"/>
    <w:rsid w:val="0013620C"/>
    <w:rsid w:val="00151979"/>
    <w:rsid w:val="00162B82"/>
    <w:rsid w:val="001658E4"/>
    <w:rsid w:val="001B1E93"/>
    <w:rsid w:val="001C6E1E"/>
    <w:rsid w:val="001D60B9"/>
    <w:rsid w:val="001E1945"/>
    <w:rsid w:val="001E6A64"/>
    <w:rsid w:val="00200B4C"/>
    <w:rsid w:val="00204556"/>
    <w:rsid w:val="00204632"/>
    <w:rsid w:val="00216217"/>
    <w:rsid w:val="00226DAA"/>
    <w:rsid w:val="00267C41"/>
    <w:rsid w:val="002720D9"/>
    <w:rsid w:val="00281078"/>
    <w:rsid w:val="00296166"/>
    <w:rsid w:val="002B4CDA"/>
    <w:rsid w:val="002D040D"/>
    <w:rsid w:val="002E1FEA"/>
    <w:rsid w:val="003359B5"/>
    <w:rsid w:val="003362E8"/>
    <w:rsid w:val="00355230"/>
    <w:rsid w:val="00364393"/>
    <w:rsid w:val="00380805"/>
    <w:rsid w:val="00397751"/>
    <w:rsid w:val="003C0726"/>
    <w:rsid w:val="003C3C27"/>
    <w:rsid w:val="003D576A"/>
    <w:rsid w:val="003D5E81"/>
    <w:rsid w:val="003D6E08"/>
    <w:rsid w:val="004332D4"/>
    <w:rsid w:val="00452245"/>
    <w:rsid w:val="004646CB"/>
    <w:rsid w:val="004A0D57"/>
    <w:rsid w:val="004E0E4E"/>
    <w:rsid w:val="004E24A0"/>
    <w:rsid w:val="004F1CEA"/>
    <w:rsid w:val="004F7867"/>
    <w:rsid w:val="00503BB9"/>
    <w:rsid w:val="00504894"/>
    <w:rsid w:val="00506738"/>
    <w:rsid w:val="00510CDD"/>
    <w:rsid w:val="00514270"/>
    <w:rsid w:val="00517621"/>
    <w:rsid w:val="00544852"/>
    <w:rsid w:val="00555333"/>
    <w:rsid w:val="00556E5A"/>
    <w:rsid w:val="00561068"/>
    <w:rsid w:val="00583171"/>
    <w:rsid w:val="00584521"/>
    <w:rsid w:val="005977AA"/>
    <w:rsid w:val="005B69C2"/>
    <w:rsid w:val="005E6905"/>
    <w:rsid w:val="005E6918"/>
    <w:rsid w:val="005F32BE"/>
    <w:rsid w:val="00616DF4"/>
    <w:rsid w:val="006365B4"/>
    <w:rsid w:val="006443D2"/>
    <w:rsid w:val="006465DE"/>
    <w:rsid w:val="00660621"/>
    <w:rsid w:val="00661F75"/>
    <w:rsid w:val="00682AA1"/>
    <w:rsid w:val="00693A75"/>
    <w:rsid w:val="00695C70"/>
    <w:rsid w:val="006A2A67"/>
    <w:rsid w:val="006B3F54"/>
    <w:rsid w:val="006C103C"/>
    <w:rsid w:val="006D3635"/>
    <w:rsid w:val="006E4D9D"/>
    <w:rsid w:val="00715A12"/>
    <w:rsid w:val="0071753C"/>
    <w:rsid w:val="00721E04"/>
    <w:rsid w:val="007275F2"/>
    <w:rsid w:val="00740509"/>
    <w:rsid w:val="00742BE3"/>
    <w:rsid w:val="00743FA9"/>
    <w:rsid w:val="00751138"/>
    <w:rsid w:val="007557A1"/>
    <w:rsid w:val="007604D5"/>
    <w:rsid w:val="0076155B"/>
    <w:rsid w:val="00776763"/>
    <w:rsid w:val="00782A83"/>
    <w:rsid w:val="00786B8E"/>
    <w:rsid w:val="007915AE"/>
    <w:rsid w:val="00796A94"/>
    <w:rsid w:val="00797BE7"/>
    <w:rsid w:val="007A533B"/>
    <w:rsid w:val="007B3D1D"/>
    <w:rsid w:val="007C3287"/>
    <w:rsid w:val="008024AB"/>
    <w:rsid w:val="00806189"/>
    <w:rsid w:val="00811C64"/>
    <w:rsid w:val="00816C10"/>
    <w:rsid w:val="008265BB"/>
    <w:rsid w:val="00833747"/>
    <w:rsid w:val="00847A61"/>
    <w:rsid w:val="00885ACB"/>
    <w:rsid w:val="008A2334"/>
    <w:rsid w:val="008A5D4F"/>
    <w:rsid w:val="008B53A7"/>
    <w:rsid w:val="008C5B31"/>
    <w:rsid w:val="008C7813"/>
    <w:rsid w:val="008D49AF"/>
    <w:rsid w:val="008D5E1C"/>
    <w:rsid w:val="008E59AE"/>
    <w:rsid w:val="008F540B"/>
    <w:rsid w:val="009002D3"/>
    <w:rsid w:val="0090056F"/>
    <w:rsid w:val="009052D4"/>
    <w:rsid w:val="0091661D"/>
    <w:rsid w:val="00931B2E"/>
    <w:rsid w:val="00965DDC"/>
    <w:rsid w:val="00967BE5"/>
    <w:rsid w:val="0097788A"/>
    <w:rsid w:val="009B0D93"/>
    <w:rsid w:val="009C1E5A"/>
    <w:rsid w:val="009D08C8"/>
    <w:rsid w:val="009D63B3"/>
    <w:rsid w:val="009F1888"/>
    <w:rsid w:val="009F1F48"/>
    <w:rsid w:val="00A02DFF"/>
    <w:rsid w:val="00A22499"/>
    <w:rsid w:val="00A2260C"/>
    <w:rsid w:val="00A31756"/>
    <w:rsid w:val="00A32DF5"/>
    <w:rsid w:val="00A34B63"/>
    <w:rsid w:val="00A43324"/>
    <w:rsid w:val="00A44888"/>
    <w:rsid w:val="00A51DD7"/>
    <w:rsid w:val="00A543D8"/>
    <w:rsid w:val="00A640D3"/>
    <w:rsid w:val="00A72995"/>
    <w:rsid w:val="00A84E30"/>
    <w:rsid w:val="00AC2BB8"/>
    <w:rsid w:val="00AE119C"/>
    <w:rsid w:val="00AE7B1E"/>
    <w:rsid w:val="00AF0723"/>
    <w:rsid w:val="00B021DB"/>
    <w:rsid w:val="00B14F0A"/>
    <w:rsid w:val="00B255E0"/>
    <w:rsid w:val="00B367D2"/>
    <w:rsid w:val="00B402FD"/>
    <w:rsid w:val="00B50C4C"/>
    <w:rsid w:val="00B75149"/>
    <w:rsid w:val="00B80A5B"/>
    <w:rsid w:val="00B87958"/>
    <w:rsid w:val="00B92BB7"/>
    <w:rsid w:val="00BA0EF6"/>
    <w:rsid w:val="00BA6536"/>
    <w:rsid w:val="00BC3D09"/>
    <w:rsid w:val="00BE073A"/>
    <w:rsid w:val="00C0209E"/>
    <w:rsid w:val="00C038D9"/>
    <w:rsid w:val="00C3383E"/>
    <w:rsid w:val="00C460AE"/>
    <w:rsid w:val="00C63319"/>
    <w:rsid w:val="00C74E71"/>
    <w:rsid w:val="00C8362E"/>
    <w:rsid w:val="00CB4406"/>
    <w:rsid w:val="00CC29E8"/>
    <w:rsid w:val="00CC442B"/>
    <w:rsid w:val="00CE65D6"/>
    <w:rsid w:val="00CF2CCB"/>
    <w:rsid w:val="00D22CB9"/>
    <w:rsid w:val="00D2305E"/>
    <w:rsid w:val="00D2492E"/>
    <w:rsid w:val="00D323F2"/>
    <w:rsid w:val="00D327A5"/>
    <w:rsid w:val="00D43BD6"/>
    <w:rsid w:val="00D50649"/>
    <w:rsid w:val="00D65ADF"/>
    <w:rsid w:val="00D666B5"/>
    <w:rsid w:val="00D72B24"/>
    <w:rsid w:val="00D80D0C"/>
    <w:rsid w:val="00D826AC"/>
    <w:rsid w:val="00D85F95"/>
    <w:rsid w:val="00DA0C24"/>
    <w:rsid w:val="00DA626E"/>
    <w:rsid w:val="00DC73F0"/>
    <w:rsid w:val="00E04AA9"/>
    <w:rsid w:val="00E16F17"/>
    <w:rsid w:val="00E37EBF"/>
    <w:rsid w:val="00E65DA7"/>
    <w:rsid w:val="00E719B2"/>
    <w:rsid w:val="00E7523C"/>
    <w:rsid w:val="00EB3E79"/>
    <w:rsid w:val="00EC0FAC"/>
    <w:rsid w:val="00EE6A68"/>
    <w:rsid w:val="00EF03CB"/>
    <w:rsid w:val="00EF449A"/>
    <w:rsid w:val="00F01804"/>
    <w:rsid w:val="00F059EF"/>
    <w:rsid w:val="00F2091B"/>
    <w:rsid w:val="00F3039C"/>
    <w:rsid w:val="00F309A3"/>
    <w:rsid w:val="00F7259F"/>
    <w:rsid w:val="00FA5779"/>
    <w:rsid w:val="00FB7C3B"/>
    <w:rsid w:val="00FC4C68"/>
    <w:rsid w:val="00FE6673"/>
    <w:rsid w:val="00FF6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0BE6C"/>
  <w15:chartTrackingRefBased/>
  <w15:docId w15:val="{13B07ADE-BF79-44B9-A628-B630968A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54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F54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D2305E"/>
    <w:pPr>
      <w:keepNext/>
      <w:tabs>
        <w:tab w:val="left" w:pos="360"/>
        <w:tab w:val="left" w:pos="3240"/>
        <w:tab w:val="left" w:pos="6120"/>
      </w:tabs>
      <w:overflowPunct w:val="0"/>
      <w:autoSpaceDE w:val="0"/>
      <w:autoSpaceDN w:val="0"/>
      <w:adjustRightInd w:val="0"/>
      <w:spacing w:after="0" w:line="240" w:lineRule="atLeast"/>
      <w:jc w:val="both"/>
      <w:textAlignment w:val="baseline"/>
      <w:outlineLvl w:val="2"/>
    </w:pPr>
    <w:rPr>
      <w:rFonts w:ascii="Bookman" w:eastAsia="Times New Roman" w:hAnsi="Bookman" w:cs="Times New Roman"/>
      <w:b/>
      <w:bCs/>
      <w:sz w:val="20"/>
      <w:szCs w:val="20"/>
    </w:rPr>
  </w:style>
  <w:style w:type="paragraph" w:styleId="Heading4">
    <w:name w:val="heading 4"/>
    <w:basedOn w:val="Normal"/>
    <w:next w:val="Normal"/>
    <w:link w:val="Heading4Char"/>
    <w:uiPriority w:val="9"/>
    <w:semiHidden/>
    <w:unhideWhenUsed/>
    <w:qFormat/>
    <w:rsid w:val="003D5E8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EMENT">
    <w:name w:val="ELEMENT"/>
    <w:basedOn w:val="Normal"/>
    <w:rsid w:val="00682AA1"/>
    <w:pPr>
      <w:spacing w:after="0" w:line="240" w:lineRule="auto"/>
      <w:jc w:val="both"/>
    </w:pPr>
    <w:rPr>
      <w:rFonts w:ascii="Bookman" w:eastAsia="Times New Roman" w:hAnsi="Bookman" w:cs="Times New Roman"/>
      <w:sz w:val="20"/>
      <w:szCs w:val="20"/>
    </w:rPr>
  </w:style>
  <w:style w:type="character" w:styleId="Hyperlink">
    <w:name w:val="Hyperlink"/>
    <w:uiPriority w:val="99"/>
    <w:rsid w:val="00517621"/>
    <w:rPr>
      <w:color w:val="0000FF"/>
      <w:u w:val="single"/>
    </w:rPr>
  </w:style>
  <w:style w:type="paragraph" w:styleId="BodyText">
    <w:name w:val="Body Text"/>
    <w:basedOn w:val="Normal"/>
    <w:link w:val="BodyTextChar"/>
    <w:rsid w:val="00751138"/>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51138"/>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D323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3F2"/>
    <w:rPr>
      <w:rFonts w:ascii="Segoe UI" w:hAnsi="Segoe UI" w:cs="Segoe UI"/>
      <w:sz w:val="18"/>
      <w:szCs w:val="18"/>
    </w:rPr>
  </w:style>
  <w:style w:type="paragraph" w:styleId="ListParagraph">
    <w:name w:val="List Paragraph"/>
    <w:basedOn w:val="Normal"/>
    <w:uiPriority w:val="34"/>
    <w:qFormat/>
    <w:rsid w:val="004F7867"/>
    <w:pPr>
      <w:ind w:left="720"/>
      <w:contextualSpacing/>
    </w:pPr>
  </w:style>
  <w:style w:type="paragraph" w:styleId="Header">
    <w:name w:val="header"/>
    <w:basedOn w:val="Normal"/>
    <w:link w:val="HeaderChar"/>
    <w:uiPriority w:val="99"/>
    <w:unhideWhenUsed/>
    <w:rsid w:val="004F1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CEA"/>
  </w:style>
  <w:style w:type="character" w:customStyle="1" w:styleId="Heading3Char">
    <w:name w:val="Heading 3 Char"/>
    <w:basedOn w:val="DefaultParagraphFont"/>
    <w:link w:val="Heading3"/>
    <w:rsid w:val="00D2305E"/>
    <w:rPr>
      <w:rFonts w:ascii="Bookman" w:eastAsia="Times New Roman" w:hAnsi="Bookman" w:cs="Times New Roman"/>
      <w:b/>
      <w:bCs/>
      <w:sz w:val="20"/>
      <w:szCs w:val="20"/>
    </w:rPr>
  </w:style>
  <w:style w:type="character" w:customStyle="1" w:styleId="Heading1Char">
    <w:name w:val="Heading 1 Char"/>
    <w:basedOn w:val="DefaultParagraphFont"/>
    <w:link w:val="Heading1"/>
    <w:uiPriority w:val="9"/>
    <w:rsid w:val="008F540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8F540B"/>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D5E81"/>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A31756"/>
    <w:pPr>
      <w:outlineLvl w:val="9"/>
    </w:pPr>
  </w:style>
  <w:style w:type="paragraph" w:styleId="TOC1">
    <w:name w:val="toc 1"/>
    <w:basedOn w:val="Normal"/>
    <w:next w:val="Normal"/>
    <w:autoRedefine/>
    <w:uiPriority w:val="39"/>
    <w:unhideWhenUsed/>
    <w:rsid w:val="00A31756"/>
    <w:pPr>
      <w:spacing w:after="100"/>
    </w:pPr>
  </w:style>
  <w:style w:type="paragraph" w:styleId="TOC3">
    <w:name w:val="toc 3"/>
    <w:basedOn w:val="Normal"/>
    <w:next w:val="Normal"/>
    <w:autoRedefine/>
    <w:uiPriority w:val="39"/>
    <w:unhideWhenUsed/>
    <w:rsid w:val="00A31756"/>
    <w:pPr>
      <w:spacing w:after="100"/>
      <w:ind w:left="440"/>
    </w:pPr>
  </w:style>
  <w:style w:type="paragraph" w:styleId="TOC2">
    <w:name w:val="toc 2"/>
    <w:basedOn w:val="Normal"/>
    <w:next w:val="Normal"/>
    <w:autoRedefine/>
    <w:uiPriority w:val="39"/>
    <w:unhideWhenUsed/>
    <w:rsid w:val="00A31756"/>
    <w:pPr>
      <w:spacing w:after="100"/>
      <w:ind w:left="220"/>
    </w:pPr>
  </w:style>
  <w:style w:type="paragraph" w:styleId="TOC4">
    <w:name w:val="toc 4"/>
    <w:basedOn w:val="Normal"/>
    <w:next w:val="Normal"/>
    <w:autoRedefine/>
    <w:uiPriority w:val="39"/>
    <w:unhideWhenUsed/>
    <w:rsid w:val="00A31756"/>
    <w:pPr>
      <w:spacing w:after="100"/>
      <w:ind w:left="660"/>
    </w:pPr>
    <w:rPr>
      <w:rFonts w:eastAsiaTheme="minorEastAsia"/>
    </w:rPr>
  </w:style>
  <w:style w:type="paragraph" w:styleId="TOC5">
    <w:name w:val="toc 5"/>
    <w:basedOn w:val="Normal"/>
    <w:next w:val="Normal"/>
    <w:autoRedefine/>
    <w:uiPriority w:val="39"/>
    <w:unhideWhenUsed/>
    <w:rsid w:val="00A31756"/>
    <w:pPr>
      <w:spacing w:after="100"/>
      <w:ind w:left="880"/>
    </w:pPr>
    <w:rPr>
      <w:rFonts w:eastAsiaTheme="minorEastAsia"/>
    </w:rPr>
  </w:style>
  <w:style w:type="paragraph" w:styleId="TOC6">
    <w:name w:val="toc 6"/>
    <w:basedOn w:val="Normal"/>
    <w:next w:val="Normal"/>
    <w:autoRedefine/>
    <w:uiPriority w:val="39"/>
    <w:unhideWhenUsed/>
    <w:rsid w:val="00A31756"/>
    <w:pPr>
      <w:spacing w:after="100"/>
      <w:ind w:left="1100"/>
    </w:pPr>
    <w:rPr>
      <w:rFonts w:eastAsiaTheme="minorEastAsia"/>
    </w:rPr>
  </w:style>
  <w:style w:type="paragraph" w:styleId="TOC7">
    <w:name w:val="toc 7"/>
    <w:basedOn w:val="Normal"/>
    <w:next w:val="Normal"/>
    <w:autoRedefine/>
    <w:uiPriority w:val="39"/>
    <w:unhideWhenUsed/>
    <w:rsid w:val="00A31756"/>
    <w:pPr>
      <w:spacing w:after="100"/>
      <w:ind w:left="1320"/>
    </w:pPr>
    <w:rPr>
      <w:rFonts w:eastAsiaTheme="minorEastAsia"/>
    </w:rPr>
  </w:style>
  <w:style w:type="paragraph" w:styleId="TOC8">
    <w:name w:val="toc 8"/>
    <w:basedOn w:val="Normal"/>
    <w:next w:val="Normal"/>
    <w:autoRedefine/>
    <w:uiPriority w:val="39"/>
    <w:unhideWhenUsed/>
    <w:rsid w:val="00A31756"/>
    <w:pPr>
      <w:spacing w:after="100"/>
      <w:ind w:left="1540"/>
    </w:pPr>
    <w:rPr>
      <w:rFonts w:eastAsiaTheme="minorEastAsia"/>
    </w:rPr>
  </w:style>
  <w:style w:type="paragraph" w:styleId="TOC9">
    <w:name w:val="toc 9"/>
    <w:basedOn w:val="Normal"/>
    <w:next w:val="Normal"/>
    <w:autoRedefine/>
    <w:uiPriority w:val="39"/>
    <w:unhideWhenUsed/>
    <w:rsid w:val="00A31756"/>
    <w:pPr>
      <w:spacing w:after="100"/>
      <w:ind w:left="1760"/>
    </w:pPr>
    <w:rPr>
      <w:rFonts w:eastAsiaTheme="minorEastAsia"/>
    </w:rPr>
  </w:style>
  <w:style w:type="paragraph" w:styleId="Footer">
    <w:name w:val="footer"/>
    <w:basedOn w:val="Normal"/>
    <w:link w:val="FooterChar"/>
    <w:uiPriority w:val="99"/>
    <w:unhideWhenUsed/>
    <w:rsid w:val="00C46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0AE"/>
  </w:style>
  <w:style w:type="paragraph" w:styleId="NoSpacing">
    <w:name w:val="No Spacing"/>
    <w:link w:val="NoSpacingChar"/>
    <w:uiPriority w:val="1"/>
    <w:qFormat/>
    <w:rsid w:val="00CE65D6"/>
    <w:pPr>
      <w:spacing w:after="0" w:line="240" w:lineRule="auto"/>
    </w:pPr>
    <w:rPr>
      <w:rFonts w:eastAsiaTheme="minorEastAsia"/>
    </w:rPr>
  </w:style>
  <w:style w:type="character" w:customStyle="1" w:styleId="NoSpacingChar">
    <w:name w:val="No Spacing Char"/>
    <w:basedOn w:val="DefaultParagraphFont"/>
    <w:link w:val="NoSpacing"/>
    <w:uiPriority w:val="1"/>
    <w:rsid w:val="00CE65D6"/>
    <w:rPr>
      <w:rFonts w:eastAsiaTheme="minorEastAsia"/>
    </w:rPr>
  </w:style>
  <w:style w:type="character" w:styleId="CommentReference">
    <w:name w:val="annotation reference"/>
    <w:basedOn w:val="DefaultParagraphFont"/>
    <w:uiPriority w:val="99"/>
    <w:semiHidden/>
    <w:unhideWhenUsed/>
    <w:rsid w:val="00504894"/>
    <w:rPr>
      <w:sz w:val="16"/>
      <w:szCs w:val="16"/>
    </w:rPr>
  </w:style>
  <w:style w:type="paragraph" w:styleId="CommentText">
    <w:name w:val="annotation text"/>
    <w:basedOn w:val="Normal"/>
    <w:link w:val="CommentTextChar"/>
    <w:uiPriority w:val="99"/>
    <w:semiHidden/>
    <w:unhideWhenUsed/>
    <w:rsid w:val="00504894"/>
    <w:pPr>
      <w:spacing w:line="240" w:lineRule="auto"/>
    </w:pPr>
    <w:rPr>
      <w:sz w:val="20"/>
      <w:szCs w:val="20"/>
    </w:rPr>
  </w:style>
  <w:style w:type="character" w:customStyle="1" w:styleId="CommentTextChar">
    <w:name w:val="Comment Text Char"/>
    <w:basedOn w:val="DefaultParagraphFont"/>
    <w:link w:val="CommentText"/>
    <w:uiPriority w:val="99"/>
    <w:semiHidden/>
    <w:rsid w:val="00504894"/>
    <w:rPr>
      <w:sz w:val="20"/>
      <w:szCs w:val="20"/>
    </w:rPr>
  </w:style>
  <w:style w:type="paragraph" w:styleId="CommentSubject">
    <w:name w:val="annotation subject"/>
    <w:basedOn w:val="CommentText"/>
    <w:next w:val="CommentText"/>
    <w:link w:val="CommentSubjectChar"/>
    <w:uiPriority w:val="99"/>
    <w:semiHidden/>
    <w:unhideWhenUsed/>
    <w:rsid w:val="00504894"/>
    <w:rPr>
      <w:b/>
      <w:bCs/>
    </w:rPr>
  </w:style>
  <w:style w:type="character" w:customStyle="1" w:styleId="CommentSubjectChar">
    <w:name w:val="Comment Subject Char"/>
    <w:basedOn w:val="CommentTextChar"/>
    <w:link w:val="CommentSubject"/>
    <w:uiPriority w:val="99"/>
    <w:semiHidden/>
    <w:rsid w:val="005048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59672">
      <w:bodyDiv w:val="1"/>
      <w:marLeft w:val="0"/>
      <w:marRight w:val="0"/>
      <w:marTop w:val="0"/>
      <w:marBottom w:val="0"/>
      <w:divBdr>
        <w:top w:val="none" w:sz="0" w:space="0" w:color="auto"/>
        <w:left w:val="none" w:sz="0" w:space="0" w:color="auto"/>
        <w:bottom w:val="none" w:sz="0" w:space="0" w:color="auto"/>
        <w:right w:val="none" w:sz="0" w:space="0" w:color="auto"/>
      </w:divBdr>
    </w:div>
    <w:div w:id="328992136">
      <w:bodyDiv w:val="1"/>
      <w:marLeft w:val="0"/>
      <w:marRight w:val="0"/>
      <w:marTop w:val="0"/>
      <w:marBottom w:val="0"/>
      <w:divBdr>
        <w:top w:val="none" w:sz="0" w:space="0" w:color="auto"/>
        <w:left w:val="none" w:sz="0" w:space="0" w:color="auto"/>
        <w:bottom w:val="none" w:sz="0" w:space="0" w:color="auto"/>
        <w:right w:val="none" w:sz="0" w:space="0" w:color="auto"/>
      </w:divBdr>
    </w:div>
    <w:div w:id="446461797">
      <w:bodyDiv w:val="1"/>
      <w:marLeft w:val="0"/>
      <w:marRight w:val="0"/>
      <w:marTop w:val="0"/>
      <w:marBottom w:val="0"/>
      <w:divBdr>
        <w:top w:val="none" w:sz="0" w:space="0" w:color="auto"/>
        <w:left w:val="none" w:sz="0" w:space="0" w:color="auto"/>
        <w:bottom w:val="none" w:sz="0" w:space="0" w:color="auto"/>
        <w:right w:val="none" w:sz="0" w:space="0" w:color="auto"/>
      </w:divBdr>
    </w:div>
    <w:div w:id="479923378">
      <w:bodyDiv w:val="1"/>
      <w:marLeft w:val="0"/>
      <w:marRight w:val="0"/>
      <w:marTop w:val="0"/>
      <w:marBottom w:val="0"/>
      <w:divBdr>
        <w:top w:val="none" w:sz="0" w:space="0" w:color="auto"/>
        <w:left w:val="none" w:sz="0" w:space="0" w:color="auto"/>
        <w:bottom w:val="none" w:sz="0" w:space="0" w:color="auto"/>
        <w:right w:val="none" w:sz="0" w:space="0" w:color="auto"/>
      </w:divBdr>
    </w:div>
    <w:div w:id="502209979">
      <w:bodyDiv w:val="1"/>
      <w:marLeft w:val="0"/>
      <w:marRight w:val="0"/>
      <w:marTop w:val="0"/>
      <w:marBottom w:val="0"/>
      <w:divBdr>
        <w:top w:val="none" w:sz="0" w:space="0" w:color="auto"/>
        <w:left w:val="none" w:sz="0" w:space="0" w:color="auto"/>
        <w:bottom w:val="none" w:sz="0" w:space="0" w:color="auto"/>
        <w:right w:val="none" w:sz="0" w:space="0" w:color="auto"/>
      </w:divBdr>
    </w:div>
    <w:div w:id="553196765">
      <w:bodyDiv w:val="1"/>
      <w:marLeft w:val="0"/>
      <w:marRight w:val="0"/>
      <w:marTop w:val="0"/>
      <w:marBottom w:val="0"/>
      <w:divBdr>
        <w:top w:val="none" w:sz="0" w:space="0" w:color="auto"/>
        <w:left w:val="none" w:sz="0" w:space="0" w:color="auto"/>
        <w:bottom w:val="none" w:sz="0" w:space="0" w:color="auto"/>
        <w:right w:val="none" w:sz="0" w:space="0" w:color="auto"/>
      </w:divBdr>
    </w:div>
    <w:div w:id="932978040">
      <w:bodyDiv w:val="1"/>
      <w:marLeft w:val="0"/>
      <w:marRight w:val="0"/>
      <w:marTop w:val="0"/>
      <w:marBottom w:val="0"/>
      <w:divBdr>
        <w:top w:val="none" w:sz="0" w:space="0" w:color="auto"/>
        <w:left w:val="none" w:sz="0" w:space="0" w:color="auto"/>
        <w:bottom w:val="none" w:sz="0" w:space="0" w:color="auto"/>
        <w:right w:val="none" w:sz="0" w:space="0" w:color="auto"/>
      </w:divBdr>
    </w:div>
    <w:div w:id="1287469885">
      <w:bodyDiv w:val="1"/>
      <w:marLeft w:val="0"/>
      <w:marRight w:val="0"/>
      <w:marTop w:val="0"/>
      <w:marBottom w:val="0"/>
      <w:divBdr>
        <w:top w:val="none" w:sz="0" w:space="0" w:color="auto"/>
        <w:left w:val="none" w:sz="0" w:space="0" w:color="auto"/>
        <w:bottom w:val="none" w:sz="0" w:space="0" w:color="auto"/>
        <w:right w:val="none" w:sz="0" w:space="0" w:color="auto"/>
      </w:divBdr>
    </w:div>
    <w:div w:id="1339960272">
      <w:bodyDiv w:val="1"/>
      <w:marLeft w:val="0"/>
      <w:marRight w:val="0"/>
      <w:marTop w:val="0"/>
      <w:marBottom w:val="0"/>
      <w:divBdr>
        <w:top w:val="none" w:sz="0" w:space="0" w:color="auto"/>
        <w:left w:val="none" w:sz="0" w:space="0" w:color="auto"/>
        <w:bottom w:val="none" w:sz="0" w:space="0" w:color="auto"/>
        <w:right w:val="none" w:sz="0" w:space="0" w:color="auto"/>
      </w:divBdr>
    </w:div>
    <w:div w:id="1590700659">
      <w:bodyDiv w:val="1"/>
      <w:marLeft w:val="0"/>
      <w:marRight w:val="0"/>
      <w:marTop w:val="0"/>
      <w:marBottom w:val="0"/>
      <w:divBdr>
        <w:top w:val="none" w:sz="0" w:space="0" w:color="auto"/>
        <w:left w:val="none" w:sz="0" w:space="0" w:color="auto"/>
        <w:bottom w:val="none" w:sz="0" w:space="0" w:color="auto"/>
        <w:right w:val="none" w:sz="0" w:space="0" w:color="auto"/>
      </w:divBdr>
    </w:div>
    <w:div w:id="1847161574">
      <w:bodyDiv w:val="1"/>
      <w:marLeft w:val="0"/>
      <w:marRight w:val="0"/>
      <w:marTop w:val="0"/>
      <w:marBottom w:val="0"/>
      <w:divBdr>
        <w:top w:val="none" w:sz="0" w:space="0" w:color="auto"/>
        <w:left w:val="none" w:sz="0" w:space="0" w:color="auto"/>
        <w:bottom w:val="none" w:sz="0" w:space="0" w:color="auto"/>
        <w:right w:val="none" w:sz="0" w:space="0" w:color="auto"/>
      </w:divBdr>
    </w:div>
    <w:div w:id="1995600150">
      <w:bodyDiv w:val="1"/>
      <w:marLeft w:val="0"/>
      <w:marRight w:val="0"/>
      <w:marTop w:val="0"/>
      <w:marBottom w:val="0"/>
      <w:divBdr>
        <w:top w:val="none" w:sz="0" w:space="0" w:color="auto"/>
        <w:left w:val="none" w:sz="0" w:space="0" w:color="auto"/>
        <w:bottom w:val="none" w:sz="0" w:space="0" w:color="auto"/>
        <w:right w:val="none" w:sz="0" w:space="0" w:color="auto"/>
      </w:divBdr>
    </w:div>
    <w:div w:id="211670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of.ca.gov" TargetMode="External"/><Relationship Id="rId14"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a:t>
            </a:r>
            <a:r>
              <a:rPr lang="en-US" baseline="0"/>
              <a:t> Total Population 1900-2010, Mono County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Sheet1!$N$3:$N$15</c:f>
              <c:numCache>
                <c:formatCode>General</c:formatCode>
                <c:ptCount val="13"/>
                <c:pt idx="0">
                  <c:v>1900</c:v>
                </c:pt>
                <c:pt idx="1">
                  <c:v>1910</c:v>
                </c:pt>
                <c:pt idx="2">
                  <c:v>1920</c:v>
                </c:pt>
                <c:pt idx="3">
                  <c:v>1930</c:v>
                </c:pt>
                <c:pt idx="4">
                  <c:v>1940</c:v>
                </c:pt>
                <c:pt idx="5">
                  <c:v>1950</c:v>
                </c:pt>
                <c:pt idx="6">
                  <c:v>1960</c:v>
                </c:pt>
                <c:pt idx="7">
                  <c:v>1970</c:v>
                </c:pt>
                <c:pt idx="8">
                  <c:v>1980</c:v>
                </c:pt>
                <c:pt idx="9">
                  <c:v>1990</c:v>
                </c:pt>
                <c:pt idx="10">
                  <c:v>2000</c:v>
                </c:pt>
                <c:pt idx="11">
                  <c:v>2010</c:v>
                </c:pt>
              </c:numCache>
            </c:numRef>
          </c:cat>
          <c:val>
            <c:numRef>
              <c:f>Sheet1!$O$3:$O$14</c:f>
              <c:numCache>
                <c:formatCode>General</c:formatCode>
                <c:ptCount val="12"/>
                <c:pt idx="0">
                  <c:v>2167</c:v>
                </c:pt>
                <c:pt idx="1">
                  <c:v>2042</c:v>
                </c:pt>
                <c:pt idx="2">
                  <c:v>960</c:v>
                </c:pt>
                <c:pt idx="3">
                  <c:v>1360</c:v>
                </c:pt>
                <c:pt idx="4">
                  <c:v>2299</c:v>
                </c:pt>
                <c:pt idx="5">
                  <c:v>2115</c:v>
                </c:pt>
                <c:pt idx="6">
                  <c:v>2213</c:v>
                </c:pt>
                <c:pt idx="7">
                  <c:v>4016</c:v>
                </c:pt>
                <c:pt idx="8">
                  <c:v>8577</c:v>
                </c:pt>
                <c:pt idx="9">
                  <c:v>9956</c:v>
                </c:pt>
                <c:pt idx="10">
                  <c:v>12853</c:v>
                </c:pt>
                <c:pt idx="11">
                  <c:v>14202</c:v>
                </c:pt>
              </c:numCache>
            </c:numRef>
          </c:val>
          <c:smooth val="0"/>
        </c:ser>
        <c:dLbls>
          <c:showLegendKey val="0"/>
          <c:showVal val="0"/>
          <c:showCatName val="0"/>
          <c:showSerName val="0"/>
          <c:showPercent val="0"/>
          <c:showBubbleSize val="0"/>
        </c:dLbls>
        <c:smooth val="0"/>
        <c:axId val="540535968"/>
        <c:axId val="540536360"/>
      </c:lineChart>
      <c:catAx>
        <c:axId val="54053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536360"/>
        <c:crosses val="autoZero"/>
        <c:auto val="1"/>
        <c:lblAlgn val="ctr"/>
        <c:lblOffset val="100"/>
        <c:noMultiLvlLbl val="0"/>
      </c:catAx>
      <c:valAx>
        <c:axId val="54053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53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 Units Permitted 1992 - 2013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SFR</c:v>
          </c:tx>
          <c:spPr>
            <a:solidFill>
              <a:schemeClr val="accent1"/>
            </a:solidFill>
            <a:ln>
              <a:noFill/>
            </a:ln>
            <a:effectLst/>
          </c:spPr>
          <c:invertIfNegative val="0"/>
          <c:cat>
            <c:numRef>
              <c:f>Sheet1!$I$1:$I$22</c:f>
              <c:numCache>
                <c:formatCode>General</c:formatCod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numCache>
            </c:numRef>
          </c:cat>
          <c:val>
            <c:numRef>
              <c:f>Sheet1!$J$1:$J$22</c:f>
              <c:numCache>
                <c:formatCode>General</c:formatCode>
                <c:ptCount val="22"/>
                <c:pt idx="0">
                  <c:v>33</c:v>
                </c:pt>
                <c:pt idx="1">
                  <c:v>25</c:v>
                </c:pt>
                <c:pt idx="2">
                  <c:v>27</c:v>
                </c:pt>
                <c:pt idx="3">
                  <c:v>24</c:v>
                </c:pt>
                <c:pt idx="4">
                  <c:v>26</c:v>
                </c:pt>
                <c:pt idx="5">
                  <c:v>25</c:v>
                </c:pt>
                <c:pt idx="6">
                  <c:v>23</c:v>
                </c:pt>
                <c:pt idx="7">
                  <c:v>34</c:v>
                </c:pt>
                <c:pt idx="8">
                  <c:v>32</c:v>
                </c:pt>
                <c:pt idx="9">
                  <c:v>26</c:v>
                </c:pt>
                <c:pt idx="10">
                  <c:v>32</c:v>
                </c:pt>
                <c:pt idx="11">
                  <c:v>35</c:v>
                </c:pt>
                <c:pt idx="12">
                  <c:v>48</c:v>
                </c:pt>
                <c:pt idx="13">
                  <c:v>44</c:v>
                </c:pt>
                <c:pt idx="14">
                  <c:v>48</c:v>
                </c:pt>
                <c:pt idx="15">
                  <c:v>38</c:v>
                </c:pt>
                <c:pt idx="16">
                  <c:v>13</c:v>
                </c:pt>
                <c:pt idx="17">
                  <c:v>4</c:v>
                </c:pt>
                <c:pt idx="18">
                  <c:v>13</c:v>
                </c:pt>
                <c:pt idx="19">
                  <c:v>17</c:v>
                </c:pt>
                <c:pt idx="20">
                  <c:v>10</c:v>
                </c:pt>
                <c:pt idx="21">
                  <c:v>8</c:v>
                </c:pt>
              </c:numCache>
            </c:numRef>
          </c:val>
        </c:ser>
        <c:ser>
          <c:idx val="1"/>
          <c:order val="1"/>
          <c:tx>
            <c:v>Manufactured</c:v>
          </c:tx>
          <c:spPr>
            <a:solidFill>
              <a:schemeClr val="accent2"/>
            </a:solidFill>
            <a:ln>
              <a:noFill/>
            </a:ln>
            <a:effectLst/>
          </c:spPr>
          <c:invertIfNegative val="0"/>
          <c:cat>
            <c:numRef>
              <c:f>Sheet1!$I$1:$I$22</c:f>
              <c:numCache>
                <c:formatCode>General</c:formatCode>
                <c:ptCount val="2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numCache>
            </c:numRef>
          </c:cat>
          <c:val>
            <c:numRef>
              <c:f>Sheet1!$K$1:$K$22</c:f>
              <c:numCache>
                <c:formatCode>General</c:formatCode>
                <c:ptCount val="22"/>
                <c:pt idx="0">
                  <c:v>12</c:v>
                </c:pt>
                <c:pt idx="1">
                  <c:v>16</c:v>
                </c:pt>
                <c:pt idx="2">
                  <c:v>9</c:v>
                </c:pt>
                <c:pt idx="3">
                  <c:v>13</c:v>
                </c:pt>
                <c:pt idx="4">
                  <c:v>6</c:v>
                </c:pt>
                <c:pt idx="5">
                  <c:v>13</c:v>
                </c:pt>
                <c:pt idx="6">
                  <c:v>11</c:v>
                </c:pt>
                <c:pt idx="7">
                  <c:v>17</c:v>
                </c:pt>
                <c:pt idx="8">
                  <c:v>5</c:v>
                </c:pt>
                <c:pt idx="9">
                  <c:v>12</c:v>
                </c:pt>
                <c:pt idx="10">
                  <c:v>9</c:v>
                </c:pt>
                <c:pt idx="11">
                  <c:v>16</c:v>
                </c:pt>
                <c:pt idx="12">
                  <c:v>16</c:v>
                </c:pt>
                <c:pt idx="13">
                  <c:v>37</c:v>
                </c:pt>
                <c:pt idx="14">
                  <c:v>20</c:v>
                </c:pt>
                <c:pt idx="15">
                  <c:v>11</c:v>
                </c:pt>
                <c:pt idx="16">
                  <c:v>12</c:v>
                </c:pt>
                <c:pt idx="17">
                  <c:v>5</c:v>
                </c:pt>
                <c:pt idx="18">
                  <c:v>4</c:v>
                </c:pt>
                <c:pt idx="19">
                  <c:v>1</c:v>
                </c:pt>
                <c:pt idx="20">
                  <c:v>1</c:v>
                </c:pt>
                <c:pt idx="21">
                  <c:v>1</c:v>
                </c:pt>
              </c:numCache>
            </c:numRef>
          </c:val>
        </c:ser>
        <c:dLbls>
          <c:showLegendKey val="0"/>
          <c:showVal val="0"/>
          <c:showCatName val="0"/>
          <c:showSerName val="0"/>
          <c:showPercent val="0"/>
          <c:showBubbleSize val="0"/>
        </c:dLbls>
        <c:gapWidth val="150"/>
        <c:overlap val="100"/>
        <c:axId val="351410072"/>
        <c:axId val="351410464"/>
      </c:barChart>
      <c:catAx>
        <c:axId val="351410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410464"/>
        <c:crosses val="autoZero"/>
        <c:auto val="1"/>
        <c:lblAlgn val="ctr"/>
        <c:lblOffset val="100"/>
        <c:noMultiLvlLbl val="0"/>
      </c:catAx>
      <c:valAx>
        <c:axId val="35141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410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5DBC91BBA484670894A461D4944692F"/>
        <w:category>
          <w:name w:val="General"/>
          <w:gallery w:val="placeholder"/>
        </w:category>
        <w:types>
          <w:type w:val="bbPlcHdr"/>
        </w:types>
        <w:behaviors>
          <w:behavior w:val="content"/>
        </w:behaviors>
        <w:guid w:val="{BCF59202-1B20-4C0A-A6E6-D5A46C7ADC72}"/>
      </w:docPartPr>
      <w:docPartBody>
        <w:p w:rsidR="00B87A59" w:rsidRDefault="007809E4" w:rsidP="007809E4">
          <w:pPr>
            <w:pStyle w:val="D5DBC91BBA484670894A461D4944692F"/>
          </w:pPr>
          <w:r>
            <w:rPr>
              <w:color w:val="2E74B5" w:themeColor="accent1" w:themeShade="BF"/>
              <w:sz w:val="24"/>
              <w:szCs w:val="24"/>
            </w:rPr>
            <w:t>[Company name]</w:t>
          </w:r>
        </w:p>
      </w:docPartBody>
    </w:docPart>
    <w:docPart>
      <w:docPartPr>
        <w:name w:val="1CE4BE2D544A4C7AACD091B78EDF28D3"/>
        <w:category>
          <w:name w:val="General"/>
          <w:gallery w:val="placeholder"/>
        </w:category>
        <w:types>
          <w:type w:val="bbPlcHdr"/>
        </w:types>
        <w:behaviors>
          <w:behavior w:val="content"/>
        </w:behaviors>
        <w:guid w:val="{94FD244A-F59F-42F0-9C2D-4B4C1A7F2864}"/>
      </w:docPartPr>
      <w:docPartBody>
        <w:p w:rsidR="00B87A59" w:rsidRDefault="007809E4" w:rsidP="007809E4">
          <w:pPr>
            <w:pStyle w:val="1CE4BE2D544A4C7AACD091B78EDF28D3"/>
          </w:pPr>
          <w:r>
            <w:rPr>
              <w:rFonts w:asciiTheme="majorHAnsi" w:eastAsiaTheme="majorEastAsia" w:hAnsiTheme="majorHAnsi" w:cstheme="majorBidi"/>
              <w:color w:val="5B9BD5" w:themeColor="accent1"/>
              <w:sz w:val="88"/>
              <w:szCs w:val="88"/>
            </w:rPr>
            <w:t>[Document title]</w:t>
          </w:r>
        </w:p>
      </w:docPartBody>
    </w:docPart>
    <w:docPart>
      <w:docPartPr>
        <w:name w:val="318672C602604CE0A85FA287D898AB90"/>
        <w:category>
          <w:name w:val="General"/>
          <w:gallery w:val="placeholder"/>
        </w:category>
        <w:types>
          <w:type w:val="bbPlcHdr"/>
        </w:types>
        <w:behaviors>
          <w:behavior w:val="content"/>
        </w:behaviors>
        <w:guid w:val="{F326CB84-E3D3-437C-B2C2-836F54E0BA59}"/>
      </w:docPartPr>
      <w:docPartBody>
        <w:p w:rsidR="00B87A59" w:rsidRDefault="007809E4" w:rsidP="007809E4">
          <w:pPr>
            <w:pStyle w:val="318672C602604CE0A85FA287D898AB90"/>
          </w:pPr>
          <w:r>
            <w:rPr>
              <w:color w:val="5B9BD5" w:themeColor="accent1"/>
              <w:sz w:val="28"/>
              <w:szCs w:val="28"/>
            </w:rPr>
            <w:t>[Author name]</w:t>
          </w:r>
        </w:p>
      </w:docPartBody>
    </w:docPart>
    <w:docPart>
      <w:docPartPr>
        <w:name w:val="3C632387A55C47C89808242295D82264"/>
        <w:category>
          <w:name w:val="General"/>
          <w:gallery w:val="placeholder"/>
        </w:category>
        <w:types>
          <w:type w:val="bbPlcHdr"/>
        </w:types>
        <w:behaviors>
          <w:behavior w:val="content"/>
        </w:behaviors>
        <w:guid w:val="{7F3E7E1C-C273-4589-B15F-04ACA5F0AD44}"/>
      </w:docPartPr>
      <w:docPartBody>
        <w:p w:rsidR="00B87A59" w:rsidRDefault="007809E4" w:rsidP="007809E4">
          <w:pPr>
            <w:pStyle w:val="3C632387A55C47C89808242295D82264"/>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Narrow">
    <w:altName w:val="Arial Narrow"/>
    <w:panose1 w:val="00000000000000000000"/>
    <w:charset w:val="4D"/>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9E4"/>
    <w:rsid w:val="00273474"/>
    <w:rsid w:val="00471DCE"/>
    <w:rsid w:val="0066435F"/>
    <w:rsid w:val="007809E4"/>
    <w:rsid w:val="008C6341"/>
    <w:rsid w:val="009A7F48"/>
    <w:rsid w:val="00AB425C"/>
    <w:rsid w:val="00B72061"/>
    <w:rsid w:val="00B7696D"/>
    <w:rsid w:val="00B87A59"/>
    <w:rsid w:val="00C01516"/>
    <w:rsid w:val="00C84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87D88DDFA8406FBB51424614E40779">
    <w:name w:val="0187D88DDFA8406FBB51424614E40779"/>
    <w:rsid w:val="007809E4"/>
  </w:style>
  <w:style w:type="paragraph" w:customStyle="1" w:styleId="F6E1A6AF4BEF40A2ADEBD8E65189F8AA">
    <w:name w:val="F6E1A6AF4BEF40A2ADEBD8E65189F8AA"/>
    <w:rsid w:val="007809E4"/>
  </w:style>
  <w:style w:type="paragraph" w:customStyle="1" w:styleId="D5DBC91BBA484670894A461D4944692F">
    <w:name w:val="D5DBC91BBA484670894A461D4944692F"/>
    <w:rsid w:val="007809E4"/>
  </w:style>
  <w:style w:type="paragraph" w:customStyle="1" w:styleId="1CE4BE2D544A4C7AACD091B78EDF28D3">
    <w:name w:val="1CE4BE2D544A4C7AACD091B78EDF28D3"/>
    <w:rsid w:val="007809E4"/>
  </w:style>
  <w:style w:type="paragraph" w:customStyle="1" w:styleId="8EBC287228B148AE9CD0470960C7F41D">
    <w:name w:val="8EBC287228B148AE9CD0470960C7F41D"/>
    <w:rsid w:val="007809E4"/>
  </w:style>
  <w:style w:type="paragraph" w:customStyle="1" w:styleId="318672C602604CE0A85FA287D898AB90">
    <w:name w:val="318672C602604CE0A85FA287D898AB90"/>
    <w:rsid w:val="007809E4"/>
  </w:style>
  <w:style w:type="paragraph" w:customStyle="1" w:styleId="3C632387A55C47C89808242295D82264">
    <w:name w:val="3C632387A55C47C89808242295D82264"/>
    <w:rsid w:val="007809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EBAE96-180C-4282-9517-C7082380F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39007</Words>
  <Characters>222340</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DRAFT 2014 Housing Element Update</vt:lpstr>
    </vt:vector>
  </TitlesOfParts>
  <Company>Mono County</Company>
  <LinksUpToDate>false</LinksUpToDate>
  <CharactersWithSpaces>260826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2014 Housing Element Update</dc:title>
  <dc:subject/>
  <dc:creator>Mono County Community Development Department</dc:creator>
  <cp:keywords/>
  <dc:description/>
  <cp:lastModifiedBy>Brent Calloway</cp:lastModifiedBy>
  <cp:revision>3</cp:revision>
  <cp:lastPrinted>2014-04-11T15:29:00Z</cp:lastPrinted>
  <dcterms:created xsi:type="dcterms:W3CDTF">2014-06-11T22:51:00Z</dcterms:created>
  <dcterms:modified xsi:type="dcterms:W3CDTF">2014-06-11T23:12:00Z</dcterms:modified>
</cp:coreProperties>
</file>