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C" w:rsidRPr="00255FFC" w:rsidRDefault="00255FFC" w:rsidP="00255FFC">
      <w:pPr>
        <w:ind w:left="1440"/>
        <w:jc w:val="both"/>
        <w:rPr>
          <w:rFonts w:ascii="Bookman" w:hAnsi="Bookman"/>
          <w:sz w:val="22"/>
          <w:szCs w:val="22"/>
        </w:rPr>
      </w:pPr>
      <w:r w:rsidRPr="00255FFC">
        <w:rPr>
          <w:rFonts w:ascii="Bookman" w:hAnsi="Bookman"/>
          <w:sz w:val="22"/>
          <w:szCs w:val="22"/>
        </w:rPr>
        <w:t>Parcels that will not have conventional power lines extended to the property shall have that information prominently noticed on the map.</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5.3</w:t>
      </w:r>
      <w:r w:rsidRPr="00255FFC">
        <w:rPr>
          <w:rFonts w:ascii="Bookman" w:hAnsi="Bookman"/>
          <w:sz w:val="22"/>
          <w:szCs w:val="22"/>
        </w:rPr>
        <w:t xml:space="preserve">: Proposed parcels that have existing street frontage with existing power lines along either side of that street frontage shall not be conditioned with bringing conventional power across the street or onto the property. </w:t>
      </w:r>
    </w:p>
    <w:p w:rsidR="00255FFC" w:rsidRPr="00255FFC" w:rsidRDefault="00255FFC" w:rsidP="00255FFC">
      <w:pPr>
        <w:jc w:val="both"/>
        <w:rPr>
          <w:rFonts w:ascii="Bookman" w:hAnsi="Bookman"/>
          <w:sz w:val="22"/>
          <w:szCs w:val="22"/>
        </w:rPr>
      </w:pPr>
    </w:p>
    <w:p w:rsidR="00255FFC" w:rsidRPr="00255FFC" w:rsidRDefault="00255FFC" w:rsidP="00255FFC">
      <w:pPr>
        <w:keepNext/>
        <w:jc w:val="both"/>
        <w:rPr>
          <w:rFonts w:ascii="Bookman" w:hAnsi="Bookman"/>
          <w:b/>
          <w:sz w:val="22"/>
          <w:szCs w:val="22"/>
        </w:rPr>
      </w:pPr>
      <w:r w:rsidRPr="00255FFC">
        <w:rPr>
          <w:rFonts w:ascii="Bookman" w:hAnsi="Bookman"/>
          <w:b/>
          <w:sz w:val="22"/>
          <w:szCs w:val="22"/>
        </w:rPr>
        <w:t>Objective B</w:t>
      </w:r>
    </w:p>
    <w:p w:rsidR="00255FFC" w:rsidRPr="00255FFC" w:rsidRDefault="00255FFC" w:rsidP="00255FFC">
      <w:pPr>
        <w:keepNext/>
        <w:jc w:val="both"/>
        <w:rPr>
          <w:rFonts w:ascii="Bookman" w:hAnsi="Bookman"/>
          <w:sz w:val="22"/>
          <w:szCs w:val="22"/>
        </w:rPr>
      </w:pPr>
      <w:r w:rsidRPr="00255FFC">
        <w:rPr>
          <w:rFonts w:ascii="Bookman" w:hAnsi="Bookman"/>
          <w:sz w:val="22"/>
          <w:szCs w:val="22"/>
        </w:rPr>
        <w:t>Maintain the scenic, agricultural, and natural resource values in the Valley.</w:t>
      </w:r>
    </w:p>
    <w:p w:rsidR="00255FFC" w:rsidRPr="00255FFC" w:rsidRDefault="00255FFC" w:rsidP="00255FFC">
      <w:pPr>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1</w:t>
      </w:r>
      <w:r w:rsidRPr="00255FFC">
        <w:rPr>
          <w:rFonts w:ascii="Bookman" w:hAnsi="Bookman"/>
          <w:sz w:val="22"/>
          <w:szCs w:val="22"/>
        </w:rPr>
        <w:t>: Maintain and enhance scenic resources in the Antelope Valley.</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1.1</w:t>
      </w:r>
      <w:r w:rsidRPr="00255FFC">
        <w:rPr>
          <w:rFonts w:ascii="Bookman" w:hAnsi="Bookman"/>
          <w:sz w:val="22"/>
          <w:szCs w:val="22"/>
        </w:rPr>
        <w:t>: In order to protect and enhance important scenic resources and scenic highway corridors, designate such areas in the Antelope Valley for Open Space, Agriculture, or Resource Management.</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1.2</w:t>
      </w:r>
      <w:r w:rsidRPr="00255FFC">
        <w:rPr>
          <w:rFonts w:ascii="Bookman" w:hAnsi="Bookman"/>
          <w:sz w:val="22"/>
          <w:szCs w:val="22"/>
        </w:rPr>
        <w:t>: Encourage private landowners with visually significant property to grant or sell a conservation easement to a land conservation organization to protect the land as open space.</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1.3</w:t>
      </w:r>
      <w:r w:rsidRPr="00255FFC">
        <w:rPr>
          <w:rFonts w:ascii="Bookman" w:hAnsi="Bookman"/>
          <w:sz w:val="22"/>
          <w:szCs w:val="22"/>
        </w:rPr>
        <w:t>: Continue to use land use designations and subdivision regulations to preserve open space for scenic purposes.</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1.4</w:t>
      </w:r>
      <w:r w:rsidRPr="00255FFC">
        <w:rPr>
          <w:rFonts w:ascii="Bookman" w:hAnsi="Bookman"/>
          <w:sz w:val="22"/>
          <w:szCs w:val="22"/>
        </w:rPr>
        <w:t>: Conserve scenic highway corridors by maintaining and expanding large lot land use designations in areas within view of scenic highways.</w:t>
      </w:r>
    </w:p>
    <w:p w:rsidR="00255FFC" w:rsidRPr="00255FFC" w:rsidRDefault="00255FFC" w:rsidP="00255FFC">
      <w:pPr>
        <w:ind w:left="720"/>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2</w:t>
      </w:r>
      <w:r w:rsidRPr="00255FFC">
        <w:rPr>
          <w:rFonts w:ascii="Bookman" w:hAnsi="Bookman"/>
          <w:sz w:val="22"/>
          <w:szCs w:val="22"/>
        </w:rPr>
        <w:t>: Preserve the agricultural lands and natural resource lands in the Antelope Valley.</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2.1</w:t>
      </w:r>
      <w:r w:rsidRPr="00255FFC">
        <w:rPr>
          <w:rFonts w:ascii="Bookman" w:hAnsi="Bookman"/>
          <w:sz w:val="22"/>
          <w:szCs w:val="22"/>
        </w:rPr>
        <w:t>: Designate existing agricultural lands for agricultural use in the Land Use Element, and initiate associated district Land Use Designations and Land Development Regulations amendments.</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2.2</w:t>
      </w:r>
      <w:r w:rsidRPr="00255FFC">
        <w:rPr>
          <w:rFonts w:ascii="Bookman" w:hAnsi="Bookman"/>
          <w:sz w:val="22"/>
          <w:szCs w:val="22"/>
        </w:rPr>
        <w:t>: In accordance with the California Environmental Quality Act (CEQA), require the preparation of an Environmental Impact Report (EIR) for projects that may convert agricultural lands to other uses.</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2.3</w:t>
      </w:r>
      <w:r w:rsidRPr="00255FFC">
        <w:rPr>
          <w:rFonts w:ascii="Bookman" w:hAnsi="Bookman"/>
          <w:sz w:val="22"/>
          <w:szCs w:val="22"/>
        </w:rPr>
        <w:t>: Encourage agricultural land owners to utilize the property tax incentives for agricultural land provided for in the county's Williamson Act program.</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2.4</w:t>
      </w:r>
      <w:r w:rsidRPr="00255FFC">
        <w:rPr>
          <w:rFonts w:ascii="Bookman" w:hAnsi="Bookman"/>
          <w:sz w:val="22"/>
          <w:szCs w:val="22"/>
        </w:rPr>
        <w:t>: Inform owners of critical wildlife habitat areas of the potential for open space easements to protect such areas and of the potential for property tax adjustments.</w:t>
      </w:r>
    </w:p>
    <w:p w:rsidR="00255FFC" w:rsidRPr="00255FFC" w:rsidRDefault="00255FFC" w:rsidP="00255FFC">
      <w:pPr>
        <w:ind w:left="720"/>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3</w:t>
      </w:r>
      <w:r w:rsidRPr="00255FFC">
        <w:rPr>
          <w:rFonts w:ascii="Bookman" w:hAnsi="Bookman"/>
          <w:sz w:val="22"/>
          <w:szCs w:val="22"/>
        </w:rPr>
        <w:t>: Work with appropriate agencies to manage water resources in a manner that protects natural, agricultural and recreational resources in the Antelope Valley.</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3.1</w:t>
      </w:r>
      <w:r w:rsidRPr="00255FFC">
        <w:rPr>
          <w:rFonts w:ascii="Bookman" w:hAnsi="Bookman"/>
          <w:sz w:val="22"/>
          <w:szCs w:val="22"/>
        </w:rPr>
        <w:t>: Consider establishing a Groundwater Management District to manage the groundwater resources of the Antelope Valley.</w:t>
      </w:r>
    </w:p>
    <w:p w:rsidR="00255FFC" w:rsidRPr="00255FFC" w:rsidRDefault="00255FFC" w:rsidP="00255FFC">
      <w:pPr>
        <w:ind w:left="1440"/>
        <w:jc w:val="both"/>
        <w:rPr>
          <w:rFonts w:ascii="Bookman" w:hAnsi="Bookman"/>
          <w:sz w:val="22"/>
          <w:szCs w:val="22"/>
        </w:rPr>
      </w:pPr>
    </w:p>
    <w:p w:rsidR="006F2147" w:rsidRDefault="006F2147" w:rsidP="00255FFC">
      <w:pPr>
        <w:ind w:left="1440"/>
        <w:jc w:val="both"/>
        <w:rPr>
          <w:rFonts w:ascii="Bookman" w:hAnsi="Bookman"/>
          <w:i/>
          <w:sz w:val="22"/>
          <w:szCs w:val="22"/>
        </w:rPr>
      </w:pPr>
      <w:bookmarkStart w:id="0" w:name="_GoBack"/>
      <w:bookmarkEnd w:id="0"/>
    </w:p>
    <w:sectPr w:rsidR="006F21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FC" w:rsidRDefault="00255FFC" w:rsidP="00255FFC">
      <w:r>
        <w:separator/>
      </w:r>
    </w:p>
  </w:endnote>
  <w:endnote w:type="continuationSeparator" w:id="0">
    <w:p w:rsidR="00255FFC" w:rsidRDefault="00255FFC" w:rsidP="0025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FC" w:rsidRDefault="00255FFC">
    <w:pPr>
      <w:pStyle w:val="Footer"/>
    </w:pPr>
    <w:r>
      <w:t>Land Use Element - 2012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FC" w:rsidRDefault="00255FFC" w:rsidP="00255FFC">
      <w:r>
        <w:separator/>
      </w:r>
    </w:p>
  </w:footnote>
  <w:footnote w:type="continuationSeparator" w:id="0">
    <w:p w:rsidR="00255FFC" w:rsidRDefault="00255FFC" w:rsidP="0025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4753"/>
    <w:multiLevelType w:val="hybridMultilevel"/>
    <w:tmpl w:val="034CE46E"/>
    <w:lvl w:ilvl="0" w:tplc="4086AD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761850C2"/>
    <w:multiLevelType w:val="hybridMultilevel"/>
    <w:tmpl w:val="C44E571A"/>
    <w:lvl w:ilvl="0" w:tplc="E484436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C"/>
    <w:rsid w:val="000A4647"/>
    <w:rsid w:val="00255FFC"/>
    <w:rsid w:val="006F2147"/>
    <w:rsid w:val="00C172E6"/>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LeFrancois</dc:creator>
  <cp:lastModifiedBy>Gerry LeFrancois</cp:lastModifiedBy>
  <cp:revision>3</cp:revision>
  <dcterms:created xsi:type="dcterms:W3CDTF">2013-03-01T21:39:00Z</dcterms:created>
  <dcterms:modified xsi:type="dcterms:W3CDTF">2013-03-01T21:39:00Z</dcterms:modified>
</cp:coreProperties>
</file>