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3</w:t>
      </w:r>
      <w:r w:rsidRPr="00255FFC">
        <w:rPr>
          <w:rFonts w:ascii="Bookman" w:hAnsi="Bookman"/>
          <w:sz w:val="22"/>
          <w:szCs w:val="22"/>
        </w:rPr>
        <w:t>: Along the US 395 corridor between existing communities, provide for limited development that is compatible with natural constraints and the Valley's scenic qualities.</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3.1</w:t>
      </w:r>
      <w:r w:rsidRPr="00255FFC">
        <w:rPr>
          <w:rFonts w:ascii="Bookman" w:hAnsi="Bookman"/>
          <w:sz w:val="22"/>
          <w:szCs w:val="22"/>
        </w:rPr>
        <w:t>:  Establish a design review process and standards for development in the US 395 corridor.</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3.2</w:t>
      </w:r>
      <w:r w:rsidRPr="00255FFC">
        <w:rPr>
          <w:rFonts w:ascii="Bookman" w:hAnsi="Bookman"/>
          <w:sz w:val="22"/>
          <w:szCs w:val="22"/>
        </w:rPr>
        <w:t>: Require projects within fault hazard zones to submit a geologic report prepared by a registered geologist. Such reports should focus on locating existing faults, evaluating their historic activity, and determining the level of risk they present to the proposed development. Report recommendations should address measures to reduce risk to acceptable levels. All such reports shall be prepared in sufficient detail to meet the criteria and policies of the State Mining and Geology Board.</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3.3</w:t>
      </w:r>
      <w:r w:rsidRPr="00255FFC">
        <w:rPr>
          <w:rFonts w:ascii="Bookman" w:hAnsi="Bookman"/>
          <w:sz w:val="22"/>
          <w:szCs w:val="22"/>
        </w:rPr>
        <w:t>:  Maintain the large lot residential nature of the US 395 corridor.</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3.4</w:t>
      </w:r>
      <w:r w:rsidRPr="00255FFC">
        <w:rPr>
          <w:rFonts w:ascii="Bookman" w:hAnsi="Bookman"/>
          <w:sz w:val="22"/>
          <w:szCs w:val="22"/>
        </w:rPr>
        <w:t xml:space="preserve">:  Uses of a greater intensity than rural residential may be permitted in the US 395 </w:t>
      </w:r>
      <w:proofErr w:type="gramStart"/>
      <w:r w:rsidRPr="00255FFC">
        <w:rPr>
          <w:rFonts w:ascii="Bookman" w:hAnsi="Bookman"/>
          <w:sz w:val="22"/>
          <w:szCs w:val="22"/>
        </w:rPr>
        <w:t>corridor</w:t>
      </w:r>
      <w:proofErr w:type="gramEnd"/>
      <w:r w:rsidRPr="00255FFC">
        <w:rPr>
          <w:rFonts w:ascii="Bookman" w:hAnsi="Bookman"/>
          <w:sz w:val="22"/>
          <w:szCs w:val="22"/>
        </w:rPr>
        <w:t xml:space="preserve"> if it is demonstrated that they comply with the following standards:</w:t>
      </w:r>
    </w:p>
    <w:p w:rsidR="00255FFC" w:rsidRPr="00255FFC" w:rsidRDefault="00255FFC" w:rsidP="00255FFC">
      <w:pPr>
        <w:ind w:left="720"/>
        <w:jc w:val="both"/>
        <w:rPr>
          <w:rFonts w:ascii="Bookman" w:hAnsi="Bookman"/>
          <w:sz w:val="22"/>
          <w:szCs w:val="22"/>
        </w:rPr>
      </w:pPr>
    </w:p>
    <w:p w:rsidR="00255FFC" w:rsidRPr="00255FFC" w:rsidRDefault="00255FFC" w:rsidP="00255FFC">
      <w:pPr>
        <w:numPr>
          <w:ilvl w:val="0"/>
          <w:numId w:val="1"/>
        </w:numPr>
        <w:tabs>
          <w:tab w:val="clear" w:pos="1800"/>
          <w:tab w:val="num" w:pos="2160"/>
        </w:tabs>
        <w:ind w:left="2160"/>
        <w:jc w:val="both"/>
        <w:rPr>
          <w:rFonts w:ascii="Bookman" w:hAnsi="Bookman"/>
          <w:sz w:val="22"/>
          <w:szCs w:val="22"/>
        </w:rPr>
      </w:pPr>
      <w:r w:rsidRPr="00255FFC">
        <w:rPr>
          <w:rFonts w:ascii="Bookman" w:hAnsi="Bookman"/>
          <w:sz w:val="22"/>
          <w:szCs w:val="22"/>
        </w:rPr>
        <w:t>The project shall not exceed the noise standards for rural residential uses as defined in the Mono County Noise Ordinance, nor increase substantially the ambient noise levels for adjoining areas. Projects having potential noise impacts shall provide a noise impact study which identifies potential noise impacts, and proposes project alternatives or mitigation measures to mitigate the potential impacts.</w:t>
      </w:r>
    </w:p>
    <w:p w:rsidR="00255FFC" w:rsidRPr="00255FFC" w:rsidRDefault="00255FFC" w:rsidP="00255FFC">
      <w:pPr>
        <w:ind w:left="2160"/>
        <w:jc w:val="both"/>
        <w:rPr>
          <w:rFonts w:ascii="Bookman" w:hAnsi="Bookman"/>
          <w:sz w:val="22"/>
          <w:szCs w:val="22"/>
        </w:rPr>
      </w:pPr>
    </w:p>
    <w:p w:rsidR="00255FFC" w:rsidRPr="00255FFC" w:rsidRDefault="00255FFC" w:rsidP="00255FFC">
      <w:pPr>
        <w:numPr>
          <w:ilvl w:val="0"/>
          <w:numId w:val="1"/>
        </w:numPr>
        <w:tabs>
          <w:tab w:val="clear" w:pos="1800"/>
          <w:tab w:val="num" w:pos="2160"/>
        </w:tabs>
        <w:ind w:left="2160"/>
        <w:jc w:val="both"/>
        <w:rPr>
          <w:rFonts w:ascii="Bookman" w:hAnsi="Bookman"/>
          <w:sz w:val="22"/>
          <w:szCs w:val="22"/>
        </w:rPr>
      </w:pPr>
      <w:r w:rsidRPr="00255FFC">
        <w:rPr>
          <w:rFonts w:ascii="Bookman" w:hAnsi="Bookman"/>
          <w:sz w:val="22"/>
          <w:szCs w:val="22"/>
        </w:rPr>
        <w:t>The project shall not violate applicable ambient air quality standards of the Great Basin Unified Air Pollution Control District, contribute substantially to an existing or projected air quality violation, or expose residents or wildlife to substantial pollution concentrations. Projects having potential air quality impacts shall provide an air quality impact study which identifies potential impacts, and proposes project alternatives or measures to mitigate the potential impacts.</w:t>
      </w:r>
    </w:p>
    <w:p w:rsidR="00255FFC" w:rsidRPr="00255FFC" w:rsidRDefault="00255FFC" w:rsidP="00255FFC">
      <w:pPr>
        <w:ind w:left="2160"/>
        <w:jc w:val="both"/>
        <w:rPr>
          <w:rFonts w:ascii="Bookman" w:hAnsi="Bookman"/>
          <w:sz w:val="22"/>
          <w:szCs w:val="22"/>
        </w:rPr>
      </w:pPr>
    </w:p>
    <w:p w:rsidR="00255FFC" w:rsidRPr="00255FFC" w:rsidRDefault="00255FFC" w:rsidP="00255FFC">
      <w:pPr>
        <w:numPr>
          <w:ilvl w:val="0"/>
          <w:numId w:val="1"/>
        </w:numPr>
        <w:tabs>
          <w:tab w:val="clear" w:pos="1800"/>
          <w:tab w:val="num" w:pos="2160"/>
        </w:tabs>
        <w:ind w:left="2160"/>
        <w:jc w:val="both"/>
        <w:rPr>
          <w:rFonts w:ascii="Bookman" w:hAnsi="Bookman"/>
          <w:sz w:val="22"/>
          <w:szCs w:val="22"/>
        </w:rPr>
      </w:pPr>
      <w:r w:rsidRPr="00255FFC">
        <w:rPr>
          <w:rFonts w:ascii="Bookman" w:hAnsi="Bookman"/>
          <w:sz w:val="22"/>
          <w:szCs w:val="22"/>
        </w:rPr>
        <w:t>The project shall comply with the requirements of the Mono County Land Clearing, Earthwork and Drainage Facilities Ordinance and the Pollution of Waters Ordinance, as well as with the requirements of the Lahontan Regional Water Quality Control Board. The project shall not substantially degrade water quality; substantially degrade or deplete groundwater resources; contaminate a public water supply; interfere substantially with groundwater recharge; involve the use, production or disposal of materials which pose a hazard to people or animal or plant populations in the area affected; or cause substantial flooding, erosion, or siltation. Projects having potential for such water-related impacts shall provide a water resource impact study which identifies potential impacts, and proposes project alternatives or measures to mitigate the potential impacts.</w:t>
      </w:r>
    </w:p>
    <w:p w:rsidR="00255FFC" w:rsidRDefault="00255FFC" w:rsidP="00255FFC">
      <w:pPr>
        <w:ind w:left="2160"/>
        <w:jc w:val="both"/>
        <w:rPr>
          <w:rFonts w:ascii="Bookman" w:hAnsi="Bookman"/>
          <w:sz w:val="22"/>
          <w:szCs w:val="22"/>
        </w:rPr>
      </w:pPr>
    </w:p>
    <w:p w:rsidR="00C73070" w:rsidRDefault="00C73070" w:rsidP="00255FFC">
      <w:pPr>
        <w:ind w:left="2160"/>
        <w:jc w:val="both"/>
        <w:rPr>
          <w:rFonts w:ascii="Bookman" w:hAnsi="Bookman"/>
          <w:sz w:val="22"/>
          <w:szCs w:val="22"/>
        </w:rPr>
      </w:pPr>
    </w:p>
    <w:p w:rsidR="00C73070" w:rsidRPr="00255FFC" w:rsidRDefault="00C73070" w:rsidP="00255FFC">
      <w:pPr>
        <w:ind w:left="2160"/>
        <w:jc w:val="both"/>
        <w:rPr>
          <w:rFonts w:ascii="Bookman" w:hAnsi="Bookman"/>
          <w:sz w:val="22"/>
          <w:szCs w:val="22"/>
        </w:rPr>
      </w:pPr>
      <w:bookmarkStart w:id="0" w:name="_GoBack"/>
      <w:bookmarkEnd w:id="0"/>
    </w:p>
    <w:sectPr w:rsidR="00C73070" w:rsidRPr="00255F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FC" w:rsidRDefault="00255FFC" w:rsidP="00255FFC">
      <w:r>
        <w:separator/>
      </w:r>
    </w:p>
  </w:endnote>
  <w:endnote w:type="continuationSeparator" w:id="0">
    <w:p w:rsidR="00255FFC" w:rsidRDefault="00255FFC" w:rsidP="0025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FC" w:rsidRDefault="00255FFC">
    <w:pPr>
      <w:pStyle w:val="Footer"/>
    </w:pPr>
    <w:r>
      <w:t>Land Use Element - 2012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FC" w:rsidRDefault="00255FFC" w:rsidP="00255FFC">
      <w:r>
        <w:separator/>
      </w:r>
    </w:p>
  </w:footnote>
  <w:footnote w:type="continuationSeparator" w:id="0">
    <w:p w:rsidR="00255FFC" w:rsidRDefault="00255FFC" w:rsidP="0025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4753"/>
    <w:multiLevelType w:val="hybridMultilevel"/>
    <w:tmpl w:val="034CE46E"/>
    <w:lvl w:ilvl="0" w:tplc="4086AD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761850C2"/>
    <w:multiLevelType w:val="hybridMultilevel"/>
    <w:tmpl w:val="C44E571A"/>
    <w:lvl w:ilvl="0" w:tplc="E484436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C"/>
    <w:rsid w:val="00255FFC"/>
    <w:rsid w:val="008C221D"/>
    <w:rsid w:val="009C5570"/>
    <w:rsid w:val="00AB2441"/>
    <w:rsid w:val="00C73070"/>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LeFrancois</dc:creator>
  <cp:lastModifiedBy>Gerry LeFrancois</cp:lastModifiedBy>
  <cp:revision>4</cp:revision>
  <dcterms:created xsi:type="dcterms:W3CDTF">2013-03-01T21:33:00Z</dcterms:created>
  <dcterms:modified xsi:type="dcterms:W3CDTF">2013-03-01T21:36:00Z</dcterms:modified>
</cp:coreProperties>
</file>